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0D686AEA" w:rsidR="00B418B5" w:rsidRPr="00103B1B" w:rsidRDefault="00B04A3B" w:rsidP="00CF3A7F">
      <w:pPr>
        <w:spacing w:after="0"/>
        <w:jc w:val="center"/>
        <w:rPr>
          <w:rFonts w:ascii="Cambria Math" w:hAnsi="Cambria Math"/>
          <w:b/>
          <w:color w:val="800000"/>
          <w:sz w:val="56"/>
          <w:szCs w:val="56"/>
        </w:rPr>
      </w:pPr>
      <w:r>
        <w:rPr>
          <w:rFonts w:ascii="Cambria Math" w:hAnsi="Cambria Math"/>
          <w:b/>
          <w:noProof/>
          <w:color w:val="800000"/>
          <w:sz w:val="56"/>
          <w:szCs w:val="56"/>
        </w:rPr>
        <w:drawing>
          <wp:anchor distT="0" distB="0" distL="114300" distR="114300" simplePos="0" relativeHeight="251691520" behindDoc="1" locked="0" layoutInCell="1" allowOverlap="1" wp14:anchorId="79DA3BC4" wp14:editId="2A8336C3">
            <wp:simplePos x="0" y="0"/>
            <wp:positionH relativeFrom="column">
              <wp:posOffset>1344930</wp:posOffset>
            </wp:positionH>
            <wp:positionV relativeFrom="paragraph">
              <wp:posOffset>-381000</wp:posOffset>
            </wp:positionV>
            <wp:extent cx="3794760" cy="2712720"/>
            <wp:effectExtent l="0" t="0" r="0" b="0"/>
            <wp:wrapNone/>
            <wp:docPr id="5661777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77792" name="Image 4"/>
                    <pic:cNvPicPr/>
                  </pic:nvPicPr>
                  <pic:blipFill>
                    <a:blip r:embed="rId5">
                      <a:extLst>
                        <a:ext uri="{28A0092B-C50C-407E-A947-70E740481C1C}">
                          <a14:useLocalDpi xmlns:a14="http://schemas.microsoft.com/office/drawing/2010/main" val="0"/>
                        </a:ext>
                      </a:extLst>
                    </a:blip>
                    <a:stretch>
                      <a:fillRect/>
                    </a:stretch>
                  </pic:blipFill>
                  <pic:spPr>
                    <a:xfrm>
                      <a:off x="0" y="0"/>
                      <a:ext cx="3794760" cy="2712720"/>
                    </a:xfrm>
                    <a:prstGeom prst="rect">
                      <a:avLst/>
                    </a:prstGeom>
                  </pic:spPr>
                </pic:pic>
              </a:graphicData>
            </a:graphic>
            <wp14:sizeRelH relativeFrom="margin">
              <wp14:pctWidth>0</wp14:pctWidth>
            </wp14:sizeRelH>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4E25B038" w:rsidR="002346A1" w:rsidRDefault="002346A1" w:rsidP="009B1D21">
      <w:pPr>
        <w:spacing w:after="0"/>
        <w:rPr>
          <w:rFonts w:ascii="Bookman Old Style" w:hAnsi="Bookman Old Style"/>
          <w:b/>
          <w:color w:val="C00000"/>
          <w:sz w:val="24"/>
          <w:szCs w:val="24"/>
        </w:rPr>
      </w:pPr>
    </w:p>
    <w:p w14:paraId="6F3E07E5" w14:textId="4E049AA0" w:rsidR="001A11AE" w:rsidRDefault="00390F05">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43EC2201">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6718DA34"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6707C7">
                              <w:rPr>
                                <w:rFonts w:ascii="Cambria Math" w:hAnsi="Cambria Math"/>
                                <w:b/>
                                <w:color w:val="800000"/>
                                <w:sz w:val="36"/>
                                <w:szCs w:val="36"/>
                              </w:rPr>
                              <w:t>Chambolle Musigny 1</w:t>
                            </w:r>
                            <w:r w:rsidR="006707C7" w:rsidRPr="006707C7">
                              <w:rPr>
                                <w:rFonts w:ascii="Cambria Math" w:hAnsi="Cambria Math"/>
                                <w:b/>
                                <w:color w:val="800000"/>
                                <w:sz w:val="36"/>
                                <w:szCs w:val="36"/>
                                <w:vertAlign w:val="superscript"/>
                              </w:rPr>
                              <w:t>er</w:t>
                            </w:r>
                            <w:r w:rsidR="006707C7">
                              <w:rPr>
                                <w:rFonts w:ascii="Cambria Math" w:hAnsi="Cambria Math"/>
                                <w:b/>
                                <w:color w:val="800000"/>
                                <w:sz w:val="36"/>
                                <w:szCs w:val="36"/>
                              </w:rPr>
                              <w:t xml:space="preserve"> Cru aux Echanges</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6718DA34"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6707C7">
                        <w:rPr>
                          <w:rFonts w:ascii="Cambria Math" w:hAnsi="Cambria Math"/>
                          <w:b/>
                          <w:color w:val="800000"/>
                          <w:sz w:val="36"/>
                          <w:szCs w:val="36"/>
                        </w:rPr>
                        <w:t>Chambolle Musigny 1</w:t>
                      </w:r>
                      <w:r w:rsidR="006707C7" w:rsidRPr="006707C7">
                        <w:rPr>
                          <w:rFonts w:ascii="Cambria Math" w:hAnsi="Cambria Math"/>
                          <w:b/>
                          <w:color w:val="800000"/>
                          <w:sz w:val="36"/>
                          <w:szCs w:val="36"/>
                          <w:vertAlign w:val="superscript"/>
                        </w:rPr>
                        <w:t>er</w:t>
                      </w:r>
                      <w:r w:rsidR="006707C7">
                        <w:rPr>
                          <w:rFonts w:ascii="Cambria Math" w:hAnsi="Cambria Math"/>
                          <w:b/>
                          <w:color w:val="800000"/>
                          <w:sz w:val="36"/>
                          <w:szCs w:val="36"/>
                        </w:rPr>
                        <w:t xml:space="preserve"> Cru aux Echanges</w:t>
                      </w:r>
                    </w:p>
                    <w:p w14:paraId="3BF2157F" w14:textId="79A2E0CC" w:rsidR="00CF3A7F" w:rsidRPr="002F4C17" w:rsidRDefault="00CF3A7F">
                      <w:pPr>
                        <w:rPr>
                          <w:sz w:val="36"/>
                          <w:szCs w:val="36"/>
                        </w:rPr>
                      </w:pPr>
                    </w:p>
                  </w:txbxContent>
                </v:textbox>
                <w10:wrap type="square"/>
              </v:shape>
            </w:pict>
          </mc:Fallback>
        </mc:AlternateContent>
      </w:r>
      <w:r w:rsidR="00B04A3B">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2E97634D">
                <wp:simplePos x="0" y="0"/>
                <wp:positionH relativeFrom="column">
                  <wp:posOffset>2979420</wp:posOffset>
                </wp:positionH>
                <wp:positionV relativeFrom="paragraph">
                  <wp:posOffset>28575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247C6" id="Rectangle 6" o:spid="_x0000_s1026" style="position:absolute;margin-left:234.6pt;margin-top:2.2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" fillcolor="white [3201]" strokecolor="white [3212]" strokeweight="2pt"/>
            </w:pict>
          </mc:Fallback>
        </mc:AlternateContent>
      </w:r>
    </w:p>
    <w:p w14:paraId="5E54F794" w14:textId="0DEAF289" w:rsidR="004807D1" w:rsidRPr="004807D1" w:rsidRDefault="00253FF9" w:rsidP="004807D1">
      <w:pPr>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95616" behindDoc="1" locked="0" layoutInCell="1" allowOverlap="1" wp14:anchorId="783ADBAF" wp14:editId="4FC37E89">
            <wp:simplePos x="0" y="0"/>
            <wp:positionH relativeFrom="column">
              <wp:posOffset>-205740</wp:posOffset>
            </wp:positionH>
            <wp:positionV relativeFrom="paragraph">
              <wp:posOffset>829310</wp:posOffset>
            </wp:positionV>
            <wp:extent cx="3737461" cy="2545080"/>
            <wp:effectExtent l="0" t="0" r="0" b="7620"/>
            <wp:wrapNone/>
            <wp:docPr id="1310711610" name="Image 5" descr="Une image contenant texte, carte, diagramm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11610" name="Image 5" descr="Une image contenant texte, carte, diagramm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737461" cy="2545080"/>
                    </a:xfrm>
                    <a:prstGeom prst="rect">
                      <a:avLst/>
                    </a:prstGeom>
                  </pic:spPr>
                </pic:pic>
              </a:graphicData>
            </a:graphic>
            <wp14:sizeRelH relativeFrom="margin">
              <wp14:pctWidth>0</wp14:pctWidth>
            </wp14:sizeRelH>
            <wp14:sizeRelV relativeFrom="margin">
              <wp14:pctHeight>0</wp14:pctHeight>
            </wp14:sizeRelV>
          </wp:anchor>
        </w:drawing>
      </w:r>
      <w:r w:rsidR="00B067A1"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1973D14A">
                <wp:simplePos x="0" y="0"/>
                <wp:positionH relativeFrom="column">
                  <wp:posOffset>3756660</wp:posOffset>
                </wp:positionH>
                <wp:positionV relativeFrom="paragraph">
                  <wp:posOffset>828675</wp:posOffset>
                </wp:positionV>
                <wp:extent cx="2941320" cy="7086600"/>
                <wp:effectExtent l="0" t="0" r="1143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70866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4FBED60F" w14:textId="77777777" w:rsidR="00127426" w:rsidRPr="00390F05" w:rsidRDefault="00127426" w:rsidP="00127426">
                            <w:pPr>
                              <w:spacing w:after="0"/>
                              <w:jc w:val="center"/>
                              <w:rPr>
                                <w:sz w:val="10"/>
                                <w:szCs w:val="1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A305D6" w:rsidRDefault="00127426" w:rsidP="00127426">
                            <w:pPr>
                              <w:spacing w:after="0"/>
                              <w:jc w:val="center"/>
                              <w:rPr>
                                <w:sz w:val="10"/>
                                <w:szCs w:val="10"/>
                              </w:rPr>
                            </w:pPr>
                          </w:p>
                          <w:p w14:paraId="1EA1DEBE" w14:textId="77777777" w:rsidR="00A305D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w:t>
                            </w:r>
                          </w:p>
                          <w:p w14:paraId="6F220AA8" w14:textId="2996F0D5" w:rsidR="00127426" w:rsidRDefault="00127426" w:rsidP="00127426">
                            <w:pPr>
                              <w:spacing w:after="0"/>
                              <w:jc w:val="center"/>
                              <w:rPr>
                                <w:sz w:val="20"/>
                                <w:szCs w:val="20"/>
                              </w:rPr>
                            </w:pPr>
                            <w:r w:rsidRPr="00127426">
                              <w:rPr>
                                <w:sz w:val="20"/>
                                <w:szCs w:val="20"/>
                              </w:rPr>
                              <w:t xml:space="preserve"> Les vignes ont entre 15, 25 et 75 ans. </w:t>
                            </w:r>
                          </w:p>
                          <w:p w14:paraId="03BB7DEE" w14:textId="77777777" w:rsidR="00253FF9" w:rsidRPr="00127426" w:rsidRDefault="00253FF9" w:rsidP="00253FF9">
                            <w:pPr>
                              <w:spacing w:after="0"/>
                              <w:jc w:val="center"/>
                              <w:rPr>
                                <w:sz w:val="20"/>
                                <w:szCs w:val="20"/>
                              </w:rPr>
                            </w:pPr>
                            <w:r w:rsidRPr="00127426">
                              <w:rPr>
                                <w:sz w:val="20"/>
                                <w:szCs w:val="20"/>
                              </w:rPr>
                              <w:t xml:space="preserve">Sols peu profonds. Gravier et roches calcaires </w:t>
                            </w:r>
                          </w:p>
                          <w:p w14:paraId="4ADAB7BA" w14:textId="17932BD8" w:rsidR="00253FF9" w:rsidRPr="000037D8" w:rsidRDefault="00253FF9" w:rsidP="00253FF9">
                            <w:pPr>
                              <w:spacing w:after="0"/>
                              <w:jc w:val="center"/>
                              <w:rPr>
                                <w:sz w:val="20"/>
                                <w:szCs w:val="20"/>
                              </w:rPr>
                            </w:pPr>
                            <w:r w:rsidRPr="00127426">
                              <w:rPr>
                                <w:sz w:val="20"/>
                                <w:szCs w:val="20"/>
                              </w:rPr>
                              <w:t>permettant l'aération et la pénétration profonde des racines</w:t>
                            </w:r>
                            <w:r>
                              <w:rPr>
                                <w:sz w:val="20"/>
                                <w:szCs w:val="20"/>
                              </w:rPr>
                              <w:t xml:space="preserve"> sur une altitude étagée de 250 à 300 </w:t>
                            </w:r>
                            <w:r>
                              <w:rPr>
                                <w:sz w:val="20"/>
                                <w:szCs w:val="20"/>
                              </w:rPr>
                              <w:t>mètres.</w:t>
                            </w:r>
                          </w:p>
                          <w:p w14:paraId="5F32F26E" w14:textId="77777777" w:rsidR="000037D8" w:rsidRPr="004807D1" w:rsidRDefault="000037D8" w:rsidP="00253FF9">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A305D6" w:rsidRDefault="000037D8"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07E312FC" w14:textId="77777777" w:rsidR="00A305D6" w:rsidRPr="00A305D6" w:rsidRDefault="00A305D6"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95.8pt;margin-top:65.25pt;width:231.6pt;height:558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" adj="-11796480,,5400" path="m,l2918460,r,6743700l1676400,6743700,,6743700,,xe">
                <v:stroke joinstyle="miter"/>
                <v:formulas/>
                <v:path o:connecttype="custom" o:connectlocs="0,0;2941320,0;2941320,7086600;1689531,7086600;0,7086600;0,0" o:connectangles="0,0,0,0,0,0" textboxrect="0,0,2918460,6743700"/>
                <v:textbox>
                  <w:txbxContent>
                    <w:p w14:paraId="4FBED60F" w14:textId="77777777" w:rsidR="00127426" w:rsidRPr="00390F05" w:rsidRDefault="00127426" w:rsidP="00127426">
                      <w:pPr>
                        <w:spacing w:after="0"/>
                        <w:jc w:val="center"/>
                        <w:rPr>
                          <w:sz w:val="10"/>
                          <w:szCs w:val="1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Pr="00A305D6" w:rsidRDefault="00127426" w:rsidP="00127426">
                      <w:pPr>
                        <w:spacing w:after="0"/>
                        <w:jc w:val="center"/>
                        <w:rPr>
                          <w:sz w:val="10"/>
                          <w:szCs w:val="10"/>
                        </w:rPr>
                      </w:pPr>
                    </w:p>
                    <w:p w14:paraId="1EA1DEBE" w14:textId="77777777" w:rsidR="00A305D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w:t>
                      </w:r>
                    </w:p>
                    <w:p w14:paraId="6F220AA8" w14:textId="2996F0D5" w:rsidR="00127426" w:rsidRDefault="00127426" w:rsidP="00127426">
                      <w:pPr>
                        <w:spacing w:after="0"/>
                        <w:jc w:val="center"/>
                        <w:rPr>
                          <w:sz w:val="20"/>
                          <w:szCs w:val="20"/>
                        </w:rPr>
                      </w:pPr>
                      <w:r w:rsidRPr="00127426">
                        <w:rPr>
                          <w:sz w:val="20"/>
                          <w:szCs w:val="20"/>
                        </w:rPr>
                        <w:t xml:space="preserve"> Les vignes ont entre 15, 25 et 75 ans. </w:t>
                      </w:r>
                    </w:p>
                    <w:p w14:paraId="03BB7DEE" w14:textId="77777777" w:rsidR="00253FF9" w:rsidRPr="00127426" w:rsidRDefault="00253FF9" w:rsidP="00253FF9">
                      <w:pPr>
                        <w:spacing w:after="0"/>
                        <w:jc w:val="center"/>
                        <w:rPr>
                          <w:sz w:val="20"/>
                          <w:szCs w:val="20"/>
                        </w:rPr>
                      </w:pPr>
                      <w:r w:rsidRPr="00127426">
                        <w:rPr>
                          <w:sz w:val="20"/>
                          <w:szCs w:val="20"/>
                        </w:rPr>
                        <w:t xml:space="preserve">Sols peu profonds. Gravier et roches calcaires </w:t>
                      </w:r>
                    </w:p>
                    <w:p w14:paraId="4ADAB7BA" w14:textId="17932BD8" w:rsidR="00253FF9" w:rsidRPr="000037D8" w:rsidRDefault="00253FF9" w:rsidP="00253FF9">
                      <w:pPr>
                        <w:spacing w:after="0"/>
                        <w:jc w:val="center"/>
                        <w:rPr>
                          <w:sz w:val="20"/>
                          <w:szCs w:val="20"/>
                        </w:rPr>
                      </w:pPr>
                      <w:r w:rsidRPr="00127426">
                        <w:rPr>
                          <w:sz w:val="20"/>
                          <w:szCs w:val="20"/>
                        </w:rPr>
                        <w:t>permettant l'aération et la pénétration profonde des racines</w:t>
                      </w:r>
                      <w:r>
                        <w:rPr>
                          <w:sz w:val="20"/>
                          <w:szCs w:val="20"/>
                        </w:rPr>
                        <w:t xml:space="preserve"> sur une altitude étagée de 250 à 300 </w:t>
                      </w:r>
                      <w:r>
                        <w:rPr>
                          <w:sz w:val="20"/>
                          <w:szCs w:val="20"/>
                        </w:rPr>
                        <w:t>mètres.</w:t>
                      </w:r>
                    </w:p>
                    <w:p w14:paraId="5F32F26E" w14:textId="77777777" w:rsidR="000037D8" w:rsidRPr="004807D1" w:rsidRDefault="000037D8" w:rsidP="00253FF9">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A305D6" w:rsidRDefault="000037D8" w:rsidP="000037D8">
                      <w:pPr>
                        <w:spacing w:after="0"/>
                        <w:jc w:val="center"/>
                        <w:rPr>
                          <w:sz w:val="10"/>
                          <w:szCs w:val="10"/>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07E312FC" w14:textId="77777777" w:rsidR="00A305D6" w:rsidRPr="00A305D6" w:rsidRDefault="00A305D6" w:rsidP="003B67D7">
                      <w:pPr>
                        <w:spacing w:after="0"/>
                        <w:jc w:val="center"/>
                        <w:rPr>
                          <w:sz w:val="10"/>
                          <w:szCs w:val="10"/>
                        </w:rPr>
                      </w:pP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4055A0B2" w:rsidR="004807D1" w:rsidRPr="004807D1" w:rsidRDefault="004807D1" w:rsidP="004807D1">
      <w:pPr>
        <w:rPr>
          <w:rFonts w:ascii="Bookman Old Style" w:hAnsi="Bookman Old Style"/>
          <w:sz w:val="24"/>
          <w:szCs w:val="24"/>
        </w:rPr>
      </w:pPr>
    </w:p>
    <w:p w14:paraId="5A8391B1" w14:textId="54B1B183" w:rsidR="004807D1" w:rsidRPr="004807D1" w:rsidRDefault="004807D1" w:rsidP="004807D1">
      <w:pPr>
        <w:rPr>
          <w:rFonts w:ascii="Bookman Old Style" w:hAnsi="Bookman Old Style"/>
          <w:sz w:val="24"/>
          <w:szCs w:val="24"/>
        </w:rPr>
      </w:pPr>
    </w:p>
    <w:p w14:paraId="3383E98B" w14:textId="2943BB7C" w:rsidR="004807D1" w:rsidRPr="004807D1" w:rsidRDefault="004807D1" w:rsidP="004807D1">
      <w:pPr>
        <w:rPr>
          <w:rFonts w:ascii="Bookman Old Style" w:hAnsi="Bookman Old Style"/>
          <w:sz w:val="24"/>
          <w:szCs w:val="24"/>
        </w:rPr>
      </w:pPr>
    </w:p>
    <w:p w14:paraId="21C9A70A" w14:textId="25FDB50D" w:rsidR="004807D1" w:rsidRPr="004807D1" w:rsidRDefault="00B067A1"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3568" behindDoc="0" locked="0" layoutInCell="1" allowOverlap="1" wp14:anchorId="775782BF" wp14:editId="2F3A1D17">
                <wp:simplePos x="0" y="0"/>
                <wp:positionH relativeFrom="column">
                  <wp:posOffset>2163809</wp:posOffset>
                </wp:positionH>
                <wp:positionV relativeFrom="paragraph">
                  <wp:posOffset>277029</wp:posOffset>
                </wp:positionV>
                <wp:extent cx="137673" cy="180350"/>
                <wp:effectExtent l="38100" t="19050" r="15240" b="10160"/>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8533" flipH="1">
                          <a:off x="0" y="0"/>
                          <a:ext cx="137673" cy="180350"/>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4C15ED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70.4pt;margin-top:21.8pt;width:10.85pt;height:14.2pt;rotation:-2150163fd;flip:x;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" adj="14720" fillcolor="red" strokecolor="windowText"/>
            </w:pict>
          </mc:Fallback>
        </mc:AlternateContent>
      </w:r>
    </w:p>
    <w:p w14:paraId="0CB81AD8" w14:textId="0843A42B" w:rsidR="004807D1" w:rsidRPr="004807D1" w:rsidRDefault="004807D1" w:rsidP="004807D1">
      <w:pPr>
        <w:rPr>
          <w:rFonts w:ascii="Bookman Old Style" w:hAnsi="Bookman Old Style"/>
          <w:sz w:val="24"/>
          <w:szCs w:val="24"/>
        </w:rPr>
      </w:pPr>
    </w:p>
    <w:p w14:paraId="7BDCC9AA" w14:textId="3E49F7D1" w:rsidR="004807D1" w:rsidRPr="004807D1" w:rsidRDefault="004807D1" w:rsidP="004807D1">
      <w:pPr>
        <w:rPr>
          <w:rFonts w:ascii="Bookman Old Style" w:hAnsi="Bookman Old Style"/>
          <w:sz w:val="24"/>
          <w:szCs w:val="24"/>
        </w:rPr>
      </w:pPr>
    </w:p>
    <w:p w14:paraId="65C97626" w14:textId="4B447E8A" w:rsidR="004807D1" w:rsidRPr="004807D1" w:rsidRDefault="004807D1" w:rsidP="004807D1">
      <w:pPr>
        <w:jc w:val="right"/>
        <w:rPr>
          <w:rFonts w:ascii="Bookman Old Style" w:hAnsi="Bookman Old Style"/>
          <w:sz w:val="24"/>
          <w:szCs w:val="24"/>
        </w:rPr>
      </w:pPr>
    </w:p>
    <w:p w14:paraId="62FACEAC" w14:textId="7C49C008" w:rsidR="004807D1" w:rsidRPr="004807D1" w:rsidRDefault="00390F05"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04DD56C9">
            <wp:simplePos x="0" y="0"/>
            <wp:positionH relativeFrom="column">
              <wp:posOffset>46355</wp:posOffset>
            </wp:positionH>
            <wp:positionV relativeFrom="paragraph">
              <wp:posOffset>333375</wp:posOffset>
            </wp:positionV>
            <wp:extent cx="1988820" cy="2645919"/>
            <wp:effectExtent l="0" t="0" r="0" b="254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988820" cy="2645919"/>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73371ADB">
            <wp:simplePos x="0" y="0"/>
            <wp:positionH relativeFrom="column">
              <wp:posOffset>981710</wp:posOffset>
            </wp:positionH>
            <wp:positionV relativeFrom="paragraph">
              <wp:posOffset>3044825</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2742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3FF9"/>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90F0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07C7"/>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0A8D"/>
    <w:rsid w:val="00834000"/>
    <w:rsid w:val="00835C1D"/>
    <w:rsid w:val="00840B02"/>
    <w:rsid w:val="008431B4"/>
    <w:rsid w:val="008456EF"/>
    <w:rsid w:val="0084696A"/>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5D6"/>
    <w:rsid w:val="00A30643"/>
    <w:rsid w:val="00A57F8E"/>
    <w:rsid w:val="00A65527"/>
    <w:rsid w:val="00A662BD"/>
    <w:rsid w:val="00A66785"/>
    <w:rsid w:val="00A83AA4"/>
    <w:rsid w:val="00A85951"/>
    <w:rsid w:val="00AA2371"/>
    <w:rsid w:val="00AA4F2C"/>
    <w:rsid w:val="00AB2EFD"/>
    <w:rsid w:val="00AC12CB"/>
    <w:rsid w:val="00AD4BC2"/>
    <w:rsid w:val="00AD6AA3"/>
    <w:rsid w:val="00AD6B88"/>
    <w:rsid w:val="00AF1D35"/>
    <w:rsid w:val="00AF3FDE"/>
    <w:rsid w:val="00AF43C2"/>
    <w:rsid w:val="00B03758"/>
    <w:rsid w:val="00B04A3B"/>
    <w:rsid w:val="00B05983"/>
    <w:rsid w:val="00B067A1"/>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4</cp:revision>
  <cp:lastPrinted>2019-02-12T23:04:00Z</cp:lastPrinted>
  <dcterms:created xsi:type="dcterms:W3CDTF">2025-10-06T09:28:00Z</dcterms:created>
  <dcterms:modified xsi:type="dcterms:W3CDTF">2025-10-06T09:47:00Z</dcterms:modified>
</cp:coreProperties>
</file>