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81665" w14:textId="77777777" w:rsidR="00E53F5A" w:rsidRPr="00E53F5A" w:rsidRDefault="00E53F5A" w:rsidP="00E53F5A">
      <w:pPr>
        <w:rPr>
          <w:lang w:val="fr-FR"/>
        </w:rPr>
      </w:pPr>
      <w:r w:rsidRPr="00E53F5A">
        <w:rPr>
          <w:b/>
          <w:bCs/>
          <w:lang w:val="fr-FR"/>
        </w:rPr>
        <w:t>Compte-rendu de la réunion du mois d'août 2024</w:t>
      </w:r>
    </w:p>
    <w:p w14:paraId="64701C52" w14:textId="77777777" w:rsidR="00E53F5A" w:rsidRPr="00E53F5A" w:rsidRDefault="00E53F5A" w:rsidP="00E53F5A">
      <w:pPr>
        <w:rPr>
          <w:lang w:val="fr-FR"/>
        </w:rPr>
      </w:pPr>
      <w:r w:rsidRPr="00E53F5A">
        <w:rPr>
          <w:b/>
          <w:bCs/>
          <w:lang w:val="fr-FR"/>
        </w:rPr>
        <w:t>Date :</w:t>
      </w:r>
      <w:r w:rsidRPr="00E53F5A">
        <w:rPr>
          <w:lang w:val="fr-FR"/>
        </w:rPr>
        <w:t xml:space="preserve"> 30 août 2024</w:t>
      </w:r>
      <w:r w:rsidRPr="00E53F5A">
        <w:rPr>
          <w:lang w:val="fr-FR"/>
        </w:rPr>
        <w:br/>
      </w:r>
      <w:r w:rsidRPr="00E53F5A">
        <w:rPr>
          <w:b/>
          <w:bCs/>
          <w:lang w:val="fr-FR"/>
        </w:rPr>
        <w:t>Lieu :</w:t>
      </w:r>
      <w:r w:rsidRPr="00E53F5A">
        <w:rPr>
          <w:lang w:val="fr-FR"/>
        </w:rPr>
        <w:t xml:space="preserve"> Bureaux du Domaine AF Gros</w:t>
      </w:r>
      <w:r w:rsidRPr="00E53F5A">
        <w:rPr>
          <w:lang w:val="fr-FR"/>
        </w:rPr>
        <w:br/>
      </w:r>
      <w:r w:rsidRPr="00E53F5A">
        <w:rPr>
          <w:b/>
          <w:bCs/>
          <w:lang w:val="fr-FR"/>
        </w:rPr>
        <w:t>Présents :</w:t>
      </w:r>
      <w:r w:rsidRPr="00E53F5A">
        <w:rPr>
          <w:lang w:val="fr-FR"/>
        </w:rPr>
        <w:t xml:space="preserve"> Caroline Parent, Mathias Parent, Corinne Robert-Béthune</w:t>
      </w:r>
    </w:p>
    <w:p w14:paraId="3BFB6AE7" w14:textId="77777777" w:rsidR="00E53F5A" w:rsidRPr="00E53F5A" w:rsidRDefault="00E53F5A" w:rsidP="00E53F5A">
      <w:r w:rsidRPr="00E53F5A">
        <w:pict w14:anchorId="406494AA">
          <v:rect id="_x0000_i1031" style="width:0;height:1.5pt" o:hralign="center" o:hrstd="t" o:hr="t" fillcolor="#a0a0a0" stroked="f"/>
        </w:pict>
      </w:r>
    </w:p>
    <w:p w14:paraId="3740F616" w14:textId="77777777" w:rsidR="00E53F5A" w:rsidRPr="00E53F5A" w:rsidRDefault="00E53F5A" w:rsidP="00E53F5A">
      <w:pPr>
        <w:rPr>
          <w:b/>
          <w:bCs/>
          <w:lang w:val="fr-FR"/>
        </w:rPr>
      </w:pPr>
      <w:r w:rsidRPr="00E53F5A">
        <w:rPr>
          <w:b/>
          <w:bCs/>
          <w:lang w:val="fr-FR"/>
        </w:rPr>
        <w:t>1. Ouverture de la réunion</w:t>
      </w:r>
    </w:p>
    <w:p w14:paraId="522D7F7C" w14:textId="77777777" w:rsidR="00E53F5A" w:rsidRPr="00E53F5A" w:rsidRDefault="00E53F5A" w:rsidP="00E53F5A">
      <w:pPr>
        <w:rPr>
          <w:lang w:val="fr-FR"/>
        </w:rPr>
      </w:pPr>
      <w:r w:rsidRPr="00E53F5A">
        <w:rPr>
          <w:lang w:val="fr-FR"/>
        </w:rPr>
        <w:t>La réunion a été ouverte avec pour objectif de discuter des décisions stratégiques liées à l’incertitude fiscale, au recrutement récent, à la préparation des vendanges, et au déménagement des nouveaux bureaux.</w:t>
      </w:r>
    </w:p>
    <w:p w14:paraId="36809B8D" w14:textId="77777777" w:rsidR="00E53F5A" w:rsidRPr="00E53F5A" w:rsidRDefault="00E53F5A" w:rsidP="00E53F5A">
      <w:pPr>
        <w:rPr>
          <w:b/>
          <w:bCs/>
          <w:lang w:val="fr-FR"/>
        </w:rPr>
      </w:pPr>
      <w:r w:rsidRPr="00E53F5A">
        <w:rPr>
          <w:b/>
          <w:bCs/>
          <w:lang w:val="fr-FR"/>
        </w:rPr>
        <w:t>2. Incertitude sur la politique fiscale</w:t>
      </w:r>
    </w:p>
    <w:p w14:paraId="7EDC5273" w14:textId="77777777" w:rsidR="00E53F5A" w:rsidRPr="00E53F5A" w:rsidRDefault="00E53F5A" w:rsidP="00E53F5A">
      <w:pPr>
        <w:rPr>
          <w:lang w:val="fr-FR"/>
        </w:rPr>
      </w:pPr>
      <w:r w:rsidRPr="00E53F5A">
        <w:rPr>
          <w:lang w:val="fr-FR"/>
        </w:rPr>
        <w:t>Le premier point abordé a été l'incertitude liée à la politique fiscale du nouveau gouvernement, encore inconnu à ce jour. En l’absence de clarté sur des éléments clés tels que le taux de l’impôt sur les sociétés ou la TVA, nous maintenons notre décision de suspendre tout investissement lourd pour l'année. Il est crucial de suivre attentivement l’évolution de la situation fiscale et économique avant d’engager de nouveaux fonds. De manière générale, cette incertitude impactera également nos prévisions d'activité commerciale dans ce contexte.</w:t>
      </w:r>
    </w:p>
    <w:p w14:paraId="65540AFF" w14:textId="77777777" w:rsidR="00E53F5A" w:rsidRPr="00E53F5A" w:rsidRDefault="00E53F5A" w:rsidP="00E53F5A">
      <w:pPr>
        <w:rPr>
          <w:b/>
          <w:bCs/>
          <w:lang w:val="fr-FR"/>
        </w:rPr>
      </w:pPr>
      <w:r w:rsidRPr="00E53F5A">
        <w:rPr>
          <w:b/>
          <w:bCs/>
          <w:lang w:val="fr-FR"/>
        </w:rPr>
        <w:t>3. Recrutement de Camille</w:t>
      </w:r>
    </w:p>
    <w:p w14:paraId="6436D757" w14:textId="77777777" w:rsidR="00E53F5A" w:rsidRPr="00E53F5A" w:rsidRDefault="00E53F5A" w:rsidP="00E53F5A">
      <w:pPr>
        <w:rPr>
          <w:lang w:val="fr-FR"/>
        </w:rPr>
      </w:pPr>
      <w:r w:rsidRPr="00E53F5A">
        <w:rPr>
          <w:lang w:val="fr-FR"/>
        </w:rPr>
        <w:t>Nous faisons le point sur le recrutement de Camille, qui a intégré l’équipe début juin. Nous sommes très satisfaits de ses performances. Camille s'est montrée très efficace et apporte un soutien considérable au service commercial ainsi qu’au back office. Cela est d’autant plus crucial avec l’absence de Géraldine, actuellement en arrêt maladie pour une durée indéterminée.</w:t>
      </w:r>
    </w:p>
    <w:p w14:paraId="26F0045E" w14:textId="77777777" w:rsidR="00E53F5A" w:rsidRPr="00E53F5A" w:rsidRDefault="00E53F5A" w:rsidP="00E53F5A">
      <w:pPr>
        <w:rPr>
          <w:b/>
          <w:bCs/>
          <w:lang w:val="fr-FR"/>
        </w:rPr>
      </w:pPr>
      <w:r w:rsidRPr="00E53F5A">
        <w:rPr>
          <w:b/>
          <w:bCs/>
          <w:lang w:val="fr-FR"/>
        </w:rPr>
        <w:t>4. Crise économique internationale et impact sur la stratégie d'achat</w:t>
      </w:r>
    </w:p>
    <w:p w14:paraId="60E442DE" w14:textId="77777777" w:rsidR="00E53F5A" w:rsidRPr="00E53F5A" w:rsidRDefault="00E53F5A" w:rsidP="00E53F5A">
      <w:pPr>
        <w:rPr>
          <w:lang w:val="fr-FR"/>
        </w:rPr>
      </w:pPr>
      <w:r w:rsidRPr="00E53F5A">
        <w:rPr>
          <w:lang w:val="fr-FR"/>
        </w:rPr>
        <w:t>La crise économique internationale et nationale continue de se confirmer, ce qui renforce notre décision de ne faire aucun achat sur la structure de négoce pour les vendanges 2024. Nous avons convenu que la vente des vins achetés lors du millésime 2023 sera lissée sur une période de deux ans afin de mieux gérer les flux financiers et de limiter les risques liés à un environnement économique incertain.</w:t>
      </w:r>
    </w:p>
    <w:p w14:paraId="2FE62BBF" w14:textId="77777777" w:rsidR="00E53F5A" w:rsidRPr="00E53F5A" w:rsidRDefault="00E53F5A" w:rsidP="00E53F5A">
      <w:pPr>
        <w:rPr>
          <w:b/>
          <w:bCs/>
        </w:rPr>
      </w:pPr>
      <w:r w:rsidRPr="00E53F5A">
        <w:rPr>
          <w:b/>
          <w:bCs/>
        </w:rPr>
        <w:t xml:space="preserve">5. </w:t>
      </w:r>
      <w:proofErr w:type="spellStart"/>
      <w:r w:rsidRPr="00E53F5A">
        <w:rPr>
          <w:b/>
          <w:bCs/>
        </w:rPr>
        <w:t>Préparation</w:t>
      </w:r>
      <w:proofErr w:type="spellEnd"/>
      <w:r w:rsidRPr="00E53F5A">
        <w:rPr>
          <w:b/>
          <w:bCs/>
        </w:rPr>
        <w:t xml:space="preserve"> des vendanges 2024</w:t>
      </w:r>
    </w:p>
    <w:p w14:paraId="2C2903D9" w14:textId="77777777" w:rsidR="00E53F5A" w:rsidRPr="00E53F5A" w:rsidRDefault="00E53F5A" w:rsidP="00E53F5A">
      <w:pPr>
        <w:numPr>
          <w:ilvl w:val="0"/>
          <w:numId w:val="1"/>
        </w:numPr>
        <w:rPr>
          <w:lang w:val="fr-FR"/>
        </w:rPr>
      </w:pPr>
      <w:r w:rsidRPr="00E53F5A">
        <w:rPr>
          <w:b/>
          <w:bCs/>
          <w:lang w:val="fr-FR"/>
        </w:rPr>
        <w:t>Dates des vendanges</w:t>
      </w:r>
      <w:r w:rsidRPr="00E53F5A">
        <w:rPr>
          <w:lang w:val="fr-FR"/>
        </w:rPr>
        <w:t xml:space="preserve"> : Les vendanges commenceront le 15 septembre, en débutant par les vignes à Moulin-à-Vent. Les vendanges pour les autres appellations débuteront le 18 septembre. Nous restons cependant vigilants vis-à-vis des conditions météorologiques qui pourraient influencer ces dates.</w:t>
      </w:r>
    </w:p>
    <w:p w14:paraId="3C855DEB" w14:textId="77777777" w:rsidR="00E53F5A" w:rsidRPr="00E53F5A" w:rsidRDefault="00E53F5A" w:rsidP="00E53F5A">
      <w:pPr>
        <w:numPr>
          <w:ilvl w:val="0"/>
          <w:numId w:val="1"/>
        </w:numPr>
        <w:rPr>
          <w:lang w:val="fr-FR"/>
        </w:rPr>
      </w:pPr>
      <w:r w:rsidRPr="00E53F5A">
        <w:rPr>
          <w:b/>
          <w:bCs/>
          <w:lang w:val="fr-FR"/>
        </w:rPr>
        <w:t>Problème de recrutement et contrat d'entraide</w:t>
      </w:r>
      <w:r w:rsidRPr="00E53F5A">
        <w:rPr>
          <w:lang w:val="fr-FR"/>
        </w:rPr>
        <w:t xml:space="preserve"> : En raison des difficultés de recrutement de personnel et du manque de fiabilité des prestataires sur le plan administratif, notamment à Moulin-à-Vent, nous avons décidé de maintenir le contrat d’entraide avec le Domaine de M. Chopin.</w:t>
      </w:r>
    </w:p>
    <w:p w14:paraId="6370E227" w14:textId="77777777" w:rsidR="00E53F5A" w:rsidRPr="00E53F5A" w:rsidRDefault="00E53F5A" w:rsidP="00E53F5A">
      <w:pPr>
        <w:numPr>
          <w:ilvl w:val="0"/>
          <w:numId w:val="1"/>
        </w:numPr>
        <w:rPr>
          <w:lang w:val="fr-FR"/>
        </w:rPr>
      </w:pPr>
      <w:r w:rsidRPr="00E53F5A">
        <w:rPr>
          <w:b/>
          <w:bCs/>
          <w:lang w:val="fr-FR"/>
        </w:rPr>
        <w:t>Repas pour les vendanges</w:t>
      </w:r>
      <w:r w:rsidRPr="00E53F5A">
        <w:rPr>
          <w:lang w:val="fr-FR"/>
        </w:rPr>
        <w:t xml:space="preserve"> : Les repas pour les équipes de la cuverie et les vendangeurs seront pris dans les futurs bureaux, où des dispositions seront prises pour protéger le personnel en cas de vent ou de pluie.</w:t>
      </w:r>
    </w:p>
    <w:p w14:paraId="7CA0CD94" w14:textId="77777777" w:rsidR="00E53F5A" w:rsidRPr="00E53F5A" w:rsidRDefault="00E53F5A" w:rsidP="00E53F5A">
      <w:pPr>
        <w:numPr>
          <w:ilvl w:val="0"/>
          <w:numId w:val="1"/>
        </w:numPr>
        <w:rPr>
          <w:lang w:val="fr-FR"/>
        </w:rPr>
      </w:pPr>
      <w:r w:rsidRPr="00E53F5A">
        <w:rPr>
          <w:b/>
          <w:bCs/>
          <w:lang w:val="fr-FR"/>
        </w:rPr>
        <w:lastRenderedPageBreak/>
        <w:t>Avantages en nature</w:t>
      </w:r>
      <w:r w:rsidRPr="00E53F5A">
        <w:rPr>
          <w:lang w:val="fr-FR"/>
        </w:rPr>
        <w:t xml:space="preserve"> : Les vendangeurs qui seront logés auront un avantage en nature, qui sera précisé sur leur fiche de paie.</w:t>
      </w:r>
    </w:p>
    <w:p w14:paraId="3FFB97AF" w14:textId="77777777" w:rsidR="00E53F5A" w:rsidRPr="00E53F5A" w:rsidRDefault="00E53F5A" w:rsidP="00E53F5A">
      <w:pPr>
        <w:rPr>
          <w:b/>
          <w:bCs/>
          <w:lang w:val="fr-FR"/>
        </w:rPr>
      </w:pPr>
      <w:r w:rsidRPr="00E53F5A">
        <w:rPr>
          <w:b/>
          <w:bCs/>
          <w:lang w:val="fr-FR"/>
        </w:rPr>
        <w:t>6. Contrôle potentiel de la répression des fraudes</w:t>
      </w:r>
    </w:p>
    <w:p w14:paraId="31F6E439" w14:textId="77777777" w:rsidR="00E53F5A" w:rsidRPr="00E53F5A" w:rsidRDefault="00E53F5A" w:rsidP="00E53F5A">
      <w:pPr>
        <w:rPr>
          <w:lang w:val="fr-FR"/>
        </w:rPr>
      </w:pPr>
      <w:r w:rsidRPr="00E53F5A">
        <w:rPr>
          <w:lang w:val="fr-FR"/>
        </w:rPr>
        <w:t>Mathias a été informé de la possibilité d’un nouveau contrôle par la répression des fraudes, avec un accent particulier sur la conformité du registre d’entrée des récoltes. Il est impératif de veiller à la bonne tenue de ce registre pour éviter toute sanction.</w:t>
      </w:r>
    </w:p>
    <w:p w14:paraId="679E3BC4" w14:textId="77777777" w:rsidR="00E53F5A" w:rsidRPr="00E53F5A" w:rsidRDefault="00E53F5A" w:rsidP="00E53F5A">
      <w:pPr>
        <w:rPr>
          <w:b/>
          <w:bCs/>
          <w:lang w:val="fr-FR"/>
        </w:rPr>
      </w:pPr>
      <w:r w:rsidRPr="00E53F5A">
        <w:rPr>
          <w:b/>
          <w:bCs/>
          <w:lang w:val="fr-FR"/>
        </w:rPr>
        <w:t>7. Contrat de prestation pour les vendangeurs</w:t>
      </w:r>
    </w:p>
    <w:p w14:paraId="3C67BEF9" w14:textId="77777777" w:rsidR="00E53F5A" w:rsidRPr="00E53F5A" w:rsidRDefault="00E53F5A" w:rsidP="00E53F5A">
      <w:pPr>
        <w:rPr>
          <w:lang w:val="fr-FR"/>
        </w:rPr>
      </w:pPr>
      <w:r w:rsidRPr="00E53F5A">
        <w:rPr>
          <w:lang w:val="fr-FR"/>
        </w:rPr>
        <w:t>Le contrat de prestation pour les vendangeurs a été signé avec Jamila. Cependant, nous sommes toujours en attente de recevoir l’ensemble des documents administratifs nécessaires pour finaliser cet accord. Nous resterons en contact régulier pour garantir que tout soit en ordre avant le début des vendanges.</w:t>
      </w:r>
    </w:p>
    <w:p w14:paraId="73161817" w14:textId="77777777" w:rsidR="00E53F5A" w:rsidRPr="00E53F5A" w:rsidRDefault="00E53F5A" w:rsidP="00E53F5A">
      <w:pPr>
        <w:rPr>
          <w:b/>
          <w:bCs/>
          <w:lang w:val="fr-FR"/>
        </w:rPr>
      </w:pPr>
      <w:r w:rsidRPr="00E53F5A">
        <w:rPr>
          <w:b/>
          <w:bCs/>
          <w:lang w:val="fr-FR"/>
        </w:rPr>
        <w:t>8. Vente du Richebourg</w:t>
      </w:r>
    </w:p>
    <w:p w14:paraId="31A72F0E" w14:textId="77777777" w:rsidR="00E53F5A" w:rsidRPr="00E53F5A" w:rsidRDefault="00E53F5A" w:rsidP="00E53F5A">
      <w:pPr>
        <w:rPr>
          <w:lang w:val="fr-FR"/>
        </w:rPr>
      </w:pPr>
      <w:r w:rsidRPr="00E53F5A">
        <w:rPr>
          <w:lang w:val="fr-FR"/>
        </w:rPr>
        <w:t>Comme chaque année, nous envisageons la vente d’une pièce de Richebourg. La décision finale sera prise aux alentours du 15 novembre, lorsque nous aurons une meilleure visibilité sur les volumes récoltés. Cette approche prudente nous permettra d’adapter notre stratégie de vente en fonction de la qualité et de la quantité des vins produits.</w:t>
      </w:r>
    </w:p>
    <w:p w14:paraId="75C4F9EF" w14:textId="77777777" w:rsidR="00E53F5A" w:rsidRPr="00E53F5A" w:rsidRDefault="00E53F5A" w:rsidP="00E53F5A">
      <w:pPr>
        <w:rPr>
          <w:b/>
          <w:bCs/>
          <w:lang w:val="fr-FR"/>
        </w:rPr>
      </w:pPr>
      <w:r w:rsidRPr="00E53F5A">
        <w:rPr>
          <w:b/>
          <w:bCs/>
          <w:lang w:val="fr-FR"/>
        </w:rPr>
        <w:t>9. Déménagement des nouveaux bureaux</w:t>
      </w:r>
    </w:p>
    <w:p w14:paraId="20B53B77" w14:textId="77777777" w:rsidR="00E53F5A" w:rsidRPr="00E53F5A" w:rsidRDefault="00E53F5A" w:rsidP="00E53F5A">
      <w:pPr>
        <w:rPr>
          <w:lang w:val="fr-FR"/>
        </w:rPr>
      </w:pPr>
      <w:r w:rsidRPr="00E53F5A">
        <w:rPr>
          <w:lang w:val="fr-FR"/>
        </w:rPr>
        <w:t>Le déménagement des nouveaux bureaux a été fixé pour le 22 novembre 2024. Tous les prestataires, y compris le déménageur, les fournisseurs informatiques et les télécoms, ont été informés de la date et sont en phase de préparation pour assurer un transfert fluide.</w:t>
      </w:r>
    </w:p>
    <w:p w14:paraId="59A65BDE" w14:textId="77777777" w:rsidR="00835DFB" w:rsidRPr="00E53F5A" w:rsidRDefault="00835DFB">
      <w:pPr>
        <w:rPr>
          <w:lang w:val="fr-FR"/>
        </w:rPr>
      </w:pPr>
    </w:p>
    <w:sectPr w:rsidR="00835DFB" w:rsidRPr="00E5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75D05"/>
    <w:multiLevelType w:val="multilevel"/>
    <w:tmpl w:val="A1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9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5A"/>
    <w:rsid w:val="001B6B71"/>
    <w:rsid w:val="001C4BD7"/>
    <w:rsid w:val="003F2BA9"/>
    <w:rsid w:val="00835DFB"/>
    <w:rsid w:val="00AE5977"/>
    <w:rsid w:val="00AF513A"/>
    <w:rsid w:val="00E53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6435"/>
  <w15:chartTrackingRefBased/>
  <w15:docId w15:val="{3547F55D-370F-4967-9AD3-695D9751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3F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3F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3F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3F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3F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3F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3F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3F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3F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3F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3F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3F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3F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3F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3F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3F5A"/>
    <w:rPr>
      <w:rFonts w:eastAsiaTheme="majorEastAsia" w:cstheme="majorBidi"/>
      <w:color w:val="272727" w:themeColor="text1" w:themeTint="D8"/>
    </w:rPr>
  </w:style>
  <w:style w:type="paragraph" w:styleId="Titre">
    <w:name w:val="Title"/>
    <w:basedOn w:val="Normal"/>
    <w:next w:val="Normal"/>
    <w:link w:val="TitreCar"/>
    <w:uiPriority w:val="10"/>
    <w:qFormat/>
    <w:rsid w:val="00E5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3F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3F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3F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3F5A"/>
    <w:pPr>
      <w:spacing w:before="160"/>
      <w:jc w:val="center"/>
    </w:pPr>
    <w:rPr>
      <w:i/>
      <w:iCs/>
      <w:color w:val="404040" w:themeColor="text1" w:themeTint="BF"/>
    </w:rPr>
  </w:style>
  <w:style w:type="character" w:customStyle="1" w:styleId="CitationCar">
    <w:name w:val="Citation Car"/>
    <w:basedOn w:val="Policepardfaut"/>
    <w:link w:val="Citation"/>
    <w:uiPriority w:val="29"/>
    <w:rsid w:val="00E53F5A"/>
    <w:rPr>
      <w:i/>
      <w:iCs/>
      <w:color w:val="404040" w:themeColor="text1" w:themeTint="BF"/>
    </w:rPr>
  </w:style>
  <w:style w:type="paragraph" w:styleId="Paragraphedeliste">
    <w:name w:val="List Paragraph"/>
    <w:basedOn w:val="Normal"/>
    <w:uiPriority w:val="34"/>
    <w:qFormat/>
    <w:rsid w:val="00E53F5A"/>
    <w:pPr>
      <w:ind w:left="720"/>
      <w:contextualSpacing/>
    </w:pPr>
  </w:style>
  <w:style w:type="character" w:styleId="Accentuationintense">
    <w:name w:val="Intense Emphasis"/>
    <w:basedOn w:val="Policepardfaut"/>
    <w:uiPriority w:val="21"/>
    <w:qFormat/>
    <w:rsid w:val="00E53F5A"/>
    <w:rPr>
      <w:i/>
      <w:iCs/>
      <w:color w:val="0F4761" w:themeColor="accent1" w:themeShade="BF"/>
    </w:rPr>
  </w:style>
  <w:style w:type="paragraph" w:styleId="Citationintense">
    <w:name w:val="Intense Quote"/>
    <w:basedOn w:val="Normal"/>
    <w:next w:val="Normal"/>
    <w:link w:val="CitationintenseCar"/>
    <w:uiPriority w:val="30"/>
    <w:qFormat/>
    <w:rsid w:val="00E5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3F5A"/>
    <w:rPr>
      <w:i/>
      <w:iCs/>
      <w:color w:val="0F4761" w:themeColor="accent1" w:themeShade="BF"/>
    </w:rPr>
  </w:style>
  <w:style w:type="character" w:styleId="Rfrenceintense">
    <w:name w:val="Intense Reference"/>
    <w:basedOn w:val="Policepardfaut"/>
    <w:uiPriority w:val="32"/>
    <w:qFormat/>
    <w:rsid w:val="00E53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361546">
      <w:bodyDiv w:val="1"/>
      <w:marLeft w:val="0"/>
      <w:marRight w:val="0"/>
      <w:marTop w:val="0"/>
      <w:marBottom w:val="0"/>
      <w:divBdr>
        <w:top w:val="none" w:sz="0" w:space="0" w:color="auto"/>
        <w:left w:val="none" w:sz="0" w:space="0" w:color="auto"/>
        <w:bottom w:val="none" w:sz="0" w:space="0" w:color="auto"/>
        <w:right w:val="none" w:sz="0" w:space="0" w:color="auto"/>
      </w:divBdr>
    </w:div>
    <w:div w:id="18061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2024-09-06T13:11:00Z</cp:lastPrinted>
  <dcterms:created xsi:type="dcterms:W3CDTF">2024-09-06T13:10:00Z</dcterms:created>
  <dcterms:modified xsi:type="dcterms:W3CDTF">2024-09-06T13:12:00Z</dcterms:modified>
</cp:coreProperties>
</file>