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CA" w:rsidRPr="008B4EBD" w:rsidRDefault="008F4BCA" w:rsidP="008F4BCA">
      <w:pPr>
        <w:shd w:val="clear" w:color="auto" w:fill="FFFFFF"/>
        <w:spacing w:after="0"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Autres remarques en off :</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je partirais en année 1 sur 149 bouteilles + 1, en évoquant le seuil visé des 200 en année 2 ou 3 selon récolte</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je mettrais Caisse « Héritiers Gros » dans le titre, un moyen pour moi que ceux qui dans leur tête décide de ne pas y aller sentent qu’ils se trouveront de fait « non héritier » de la famille dans la tête de l’acheteur.</w:t>
      </w:r>
    </w:p>
    <w:p w:rsidR="008F4BCA" w:rsidRPr="0096247A"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E74B5" w:themeColor="accent1" w:themeShade="BF"/>
          <w:sz w:val="20"/>
          <w:szCs w:val="20"/>
          <w:lang w:eastAsia="fr-FR"/>
        </w:rPr>
      </w:pPr>
      <w:r w:rsidRPr="0096247A">
        <w:rPr>
          <w:rFonts w:ascii="Helvetica" w:eastAsia="Times New Roman" w:hAnsi="Helvetica" w:cs="Helvetica"/>
          <w:color w:val="2E74B5" w:themeColor="accent1" w:themeShade="BF"/>
          <w:sz w:val="20"/>
          <w:szCs w:val="20"/>
          <w:lang w:eastAsia="fr-FR"/>
        </w:rPr>
        <w:t>Le gros bémol c’est la responsabilité (voir le document de Thierry) si la société vient à devenir ostensible du fait d’une révélation, il faudrait voir si le pacte peut rendre la responsabilité de TOUS solidaire. Faire préciser comment se manifeste la révélation. C’est le Gérant qui endosse une énorme responsabilité personnelle. Fais attention peut être est ce mieux de faire une cogérance, à deux avec Mathias ou à 4 ?</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Une assurance individuelle dit-elle être contractée par Mathias et Caroline spécifique à la SEP dans la SAS François Parent ? Il me semble que tous les deux vous êtes couverts en tant que dirigeants via l’extension de la SAS AFGROS mais il faut contrôler car avec la SEP tout repose (droits et ob</w:t>
      </w:r>
      <w:bookmarkStart w:id="0" w:name="_GoBack"/>
      <w:r w:rsidRPr="008B4EBD">
        <w:rPr>
          <w:rFonts w:ascii="Helvetica" w:eastAsia="Times New Roman" w:hAnsi="Helvetica" w:cs="Helvetica"/>
          <w:color w:val="26282A"/>
          <w:sz w:val="20"/>
          <w:szCs w:val="20"/>
          <w:lang w:eastAsia="fr-FR"/>
        </w:rPr>
        <w:t>l</w:t>
      </w:r>
      <w:bookmarkEnd w:id="0"/>
      <w:r w:rsidRPr="008B4EBD">
        <w:rPr>
          <w:rFonts w:ascii="Helvetica" w:eastAsia="Times New Roman" w:hAnsi="Helvetica" w:cs="Helvetica"/>
          <w:color w:val="26282A"/>
          <w:sz w:val="20"/>
          <w:szCs w:val="20"/>
          <w:lang w:eastAsia="fr-FR"/>
        </w:rPr>
        <w:t>igations) sur la tête des participants.</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Les deux grosses embûches sont : 1/ un problème d’impayé car à mon sens seul la société FP se voit mise en cause et pour les mêmes raisons en 2/ un risque suite à un prob</w:t>
      </w:r>
      <w:r>
        <w:rPr>
          <w:rFonts w:ascii="Helvetica" w:eastAsia="Times New Roman" w:hAnsi="Helvetica" w:cs="Helvetica"/>
          <w:color w:val="26282A"/>
          <w:sz w:val="20"/>
          <w:szCs w:val="20"/>
          <w:lang w:eastAsia="fr-FR"/>
        </w:rPr>
        <w:t>lème sur un ou plusieurs vins (</w:t>
      </w:r>
      <w:r w:rsidRPr="008B4EBD">
        <w:rPr>
          <w:rFonts w:ascii="Helvetica" w:eastAsia="Times New Roman" w:hAnsi="Helvetica" w:cs="Helvetica"/>
          <w:color w:val="26282A"/>
          <w:sz w:val="20"/>
          <w:szCs w:val="20"/>
          <w:lang w:eastAsia="fr-FR"/>
        </w:rPr>
        <w:t>bouchonnés ou pire...)</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Voir le point portant sur la difficile question douanière évoquée dans le support de Thierry.</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 xml:space="preserve">Prévoir au départ un apport en c/c pour chaque campagne annuelle afin que la SAS </w:t>
      </w:r>
      <w:proofErr w:type="spellStart"/>
      <w:r w:rsidRPr="008B4EBD">
        <w:rPr>
          <w:rFonts w:ascii="Helvetica" w:eastAsia="Times New Roman" w:hAnsi="Helvetica" w:cs="Helvetica"/>
          <w:color w:val="26282A"/>
          <w:sz w:val="20"/>
          <w:szCs w:val="20"/>
          <w:lang w:eastAsia="fr-FR"/>
        </w:rPr>
        <w:t>Francois</w:t>
      </w:r>
      <w:proofErr w:type="spellEnd"/>
      <w:r w:rsidRPr="008B4EBD">
        <w:rPr>
          <w:rFonts w:ascii="Helvetica" w:eastAsia="Times New Roman" w:hAnsi="Helvetica" w:cs="Helvetica"/>
          <w:color w:val="26282A"/>
          <w:sz w:val="20"/>
          <w:szCs w:val="20"/>
          <w:lang w:eastAsia="fr-FR"/>
        </w:rPr>
        <w:t xml:space="preserve"> </w:t>
      </w:r>
      <w:proofErr w:type="gramStart"/>
      <w:r w:rsidRPr="008B4EBD">
        <w:rPr>
          <w:rFonts w:ascii="Helvetica" w:eastAsia="Times New Roman" w:hAnsi="Helvetica" w:cs="Helvetica"/>
          <w:color w:val="26282A"/>
          <w:sz w:val="20"/>
          <w:szCs w:val="20"/>
          <w:lang w:eastAsia="fr-FR"/>
        </w:rPr>
        <w:t>Parent</w:t>
      </w:r>
      <w:proofErr w:type="gramEnd"/>
      <w:r w:rsidRPr="008B4EBD">
        <w:rPr>
          <w:rFonts w:ascii="Helvetica" w:eastAsia="Times New Roman" w:hAnsi="Helvetica" w:cs="Helvetica"/>
          <w:color w:val="26282A"/>
          <w:sz w:val="20"/>
          <w:szCs w:val="20"/>
          <w:lang w:eastAsia="fr-FR"/>
        </w:rPr>
        <w:t xml:space="preserve"> n’ait pas à faire les avances de fonds nécessaires au paiement des assurances, des honoraires, des frais administratifs, commerciaux....</w:t>
      </w:r>
    </w:p>
    <w:p w:rsidR="008F4BCA" w:rsidRPr="0096247A"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E74B5" w:themeColor="accent1" w:themeShade="BF"/>
          <w:sz w:val="20"/>
          <w:szCs w:val="20"/>
          <w:lang w:eastAsia="fr-FR"/>
        </w:rPr>
      </w:pPr>
      <w:r w:rsidRPr="0096247A">
        <w:rPr>
          <w:rFonts w:ascii="Helvetica" w:eastAsia="Times New Roman" w:hAnsi="Helvetica" w:cs="Helvetica"/>
          <w:color w:val="2E74B5" w:themeColor="accent1" w:themeShade="BF"/>
          <w:sz w:val="20"/>
          <w:szCs w:val="20"/>
          <w:lang w:eastAsia="fr-FR"/>
        </w:rPr>
        <w:t>Bien insisté sur le caractère nécessairement occulte qui oblige au secret cela veut dire que les clients existants des Domaines doivent ignorer l’existence de la SEP et être simplement orientés pour l’achat de la caisse vers la SAS FRANCOIS PARENT</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Attention aussi en termes de communication : personne (journalistes...) ne doit connaitre l’existence de la SEP</w:t>
      </w:r>
    </w:p>
    <w:p w:rsidR="008F4BCA" w:rsidRPr="0096247A"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E74B5" w:themeColor="accent1" w:themeShade="BF"/>
          <w:sz w:val="20"/>
          <w:szCs w:val="20"/>
          <w:lang w:eastAsia="fr-FR"/>
        </w:rPr>
      </w:pPr>
      <w:r w:rsidRPr="0096247A">
        <w:rPr>
          <w:rFonts w:ascii="Helvetica" w:eastAsia="Times New Roman" w:hAnsi="Helvetica" w:cs="Helvetica"/>
          <w:color w:val="2E74B5" w:themeColor="accent1" w:themeShade="BF"/>
          <w:sz w:val="20"/>
          <w:szCs w:val="20"/>
          <w:lang w:eastAsia="fr-FR"/>
        </w:rPr>
        <w:t>Tous les participants de la SEP s’interdisent de déposer la marque HÉRITIERS GROS pendant la vie durant de chacun des HÉRITIERS et ceux de manière collective c’est à dire jusqu’au décès du dernier.</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voir si dans l</w:t>
      </w:r>
      <w:r>
        <w:rPr>
          <w:rFonts w:ascii="Helvetica" w:eastAsia="Times New Roman" w:hAnsi="Helvetica" w:cs="Helvetica"/>
          <w:color w:val="26282A"/>
          <w:sz w:val="20"/>
          <w:szCs w:val="20"/>
          <w:lang w:eastAsia="fr-FR"/>
        </w:rPr>
        <w:t>e</w:t>
      </w:r>
      <w:r w:rsidRPr="008B4EBD">
        <w:rPr>
          <w:rFonts w:ascii="Helvetica" w:eastAsia="Times New Roman" w:hAnsi="Helvetica" w:cs="Helvetica"/>
          <w:color w:val="26282A"/>
          <w:sz w:val="20"/>
          <w:szCs w:val="20"/>
          <w:lang w:eastAsia="fr-FR"/>
        </w:rPr>
        <w:t xml:space="preserve"> pacte il ne faut pas prévoir qu’au jour où elle devient ostensible la SEP sera immédiatement dissoute.</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C</w:t>
      </w:r>
      <w:r>
        <w:rPr>
          <w:rFonts w:ascii="Helvetica" w:eastAsia="Times New Roman" w:hAnsi="Helvetica" w:cs="Helvetica"/>
          <w:color w:val="26282A"/>
          <w:sz w:val="20"/>
          <w:szCs w:val="20"/>
          <w:lang w:eastAsia="fr-FR"/>
        </w:rPr>
        <w:t>omment se rémunère la gérance (</w:t>
      </w:r>
      <w:r w:rsidRPr="008B4EBD">
        <w:rPr>
          <w:rFonts w:ascii="Helvetica" w:eastAsia="Times New Roman" w:hAnsi="Helvetica" w:cs="Helvetica"/>
          <w:color w:val="26282A"/>
          <w:sz w:val="20"/>
          <w:szCs w:val="20"/>
          <w:lang w:eastAsia="fr-FR"/>
        </w:rPr>
        <w:t>si tel est votre souhait) puisqu’il ne peut y avoir de salaire.</w:t>
      </w:r>
    </w:p>
    <w:p w:rsidR="008F4BCA" w:rsidRPr="008B4EBD" w:rsidRDefault="008F4BCA" w:rsidP="008F4BCA">
      <w:pPr>
        <w:numPr>
          <w:ilvl w:val="0"/>
          <w:numId w:val="1"/>
        </w:numPr>
        <w:shd w:val="clear" w:color="auto" w:fill="FFFFFF"/>
        <w:spacing w:before="100" w:beforeAutospacing="1" w:after="100" w:afterAutospacing="1" w:line="240" w:lineRule="auto"/>
        <w:rPr>
          <w:rFonts w:ascii="Helvetica" w:eastAsia="Times New Roman" w:hAnsi="Helvetica" w:cs="Helvetica"/>
          <w:color w:val="26282A"/>
          <w:sz w:val="20"/>
          <w:szCs w:val="20"/>
          <w:lang w:eastAsia="fr-FR"/>
        </w:rPr>
      </w:pPr>
      <w:r w:rsidRPr="008B4EBD">
        <w:rPr>
          <w:rFonts w:ascii="Helvetica" w:eastAsia="Times New Roman" w:hAnsi="Helvetica" w:cs="Helvetica"/>
          <w:color w:val="26282A"/>
          <w:sz w:val="20"/>
          <w:szCs w:val="20"/>
          <w:lang w:eastAsia="fr-FR"/>
        </w:rPr>
        <w:t>Peut-être faut-il prévoir qu’en dehors de la caisse « caritative » chaque participant se verra offrir une caisse Héritiers Gros selon un calendrier établi à l’origine qui lissera ainsi le problème des effets millésimes pour faire purement jouer le hasard. Ainsi chaque branche familiale pourra conserver un témoignage de cette opération collective.</w:t>
      </w:r>
    </w:p>
    <w:p w:rsidR="008F4BCA" w:rsidRPr="007F5413" w:rsidRDefault="008F4BCA" w:rsidP="008F4BCA">
      <w:pPr>
        <w:tabs>
          <w:tab w:val="left" w:pos="1020"/>
        </w:tabs>
        <w:rPr>
          <w:rFonts w:ascii="Cambria" w:hAnsi="Cambria"/>
        </w:rPr>
      </w:pPr>
      <w:r>
        <w:rPr>
          <w:rFonts w:ascii="Cambria" w:hAnsi="Cambria"/>
        </w:rPr>
        <w:tab/>
      </w:r>
    </w:p>
    <w:p w:rsidR="007E3B31" w:rsidRDefault="007E3B31"/>
    <w:sectPr w:rsidR="007E3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0778B"/>
    <w:multiLevelType w:val="multilevel"/>
    <w:tmpl w:val="DB0A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CA"/>
    <w:rsid w:val="007E3B31"/>
    <w:rsid w:val="008F4BCA"/>
    <w:rsid w:val="0096247A"/>
    <w:rsid w:val="00F73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F2446-BF23-421F-9863-56440067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429</Words>
  <Characters>2365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dcterms:created xsi:type="dcterms:W3CDTF">2019-01-16T15:02:00Z</dcterms:created>
  <dcterms:modified xsi:type="dcterms:W3CDTF">2019-01-16T15:17:00Z</dcterms:modified>
</cp:coreProperties>
</file>