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DC84" w14:textId="77777777" w:rsidR="008536DA" w:rsidRPr="008536DA" w:rsidRDefault="008536DA" w:rsidP="008536DA">
      <w:pPr>
        <w:rPr>
          <w:lang w:val="fr-FR"/>
        </w:rPr>
      </w:pPr>
      <w:r w:rsidRPr="008536DA">
        <w:rPr>
          <w:lang w:val="fr-FR"/>
        </w:rPr>
        <w:t xml:space="preserve">Voici la procédure précise à suivre pour un client achetant des métaux précieux à des particuliers en Belgique et revendant à des professionnels en France, en tenant compte des règles fiscales françaises — selon qu’il soit </w:t>
      </w:r>
      <w:r w:rsidRPr="008536DA">
        <w:rPr>
          <w:b/>
          <w:bCs/>
          <w:lang w:val="fr-FR"/>
        </w:rPr>
        <w:t>auto-entrepreneur</w:t>
      </w:r>
      <w:r w:rsidRPr="008536DA">
        <w:rPr>
          <w:lang w:val="fr-FR"/>
        </w:rPr>
        <w:t xml:space="preserve"> ou en </w:t>
      </w:r>
      <w:r w:rsidRPr="008536DA">
        <w:rPr>
          <w:b/>
          <w:bCs/>
          <w:lang w:val="fr-FR"/>
        </w:rPr>
        <w:t>SAS</w:t>
      </w:r>
      <w:r w:rsidRPr="008536DA">
        <w:rPr>
          <w:lang w:val="fr-FR"/>
        </w:rPr>
        <w:t>.</w:t>
      </w:r>
    </w:p>
    <w:p w14:paraId="3F32B32F" w14:textId="77777777" w:rsidR="008536DA" w:rsidRPr="008536DA" w:rsidRDefault="008536DA" w:rsidP="008536DA">
      <w:r w:rsidRPr="008536DA">
        <w:pict w14:anchorId="095DC7EF">
          <v:rect id="_x0000_i1055" style="width:0;height:1.5pt" o:hralign="center" o:hrstd="t" o:hr="t" fillcolor="#a0a0a0" stroked="f"/>
        </w:pict>
      </w:r>
    </w:p>
    <w:p w14:paraId="1710D5E3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</w:rPr>
        <w:t>🔧</w:t>
      </w:r>
      <w:r w:rsidRPr="008536DA">
        <w:rPr>
          <w:b/>
          <w:bCs/>
          <w:lang w:val="fr-FR"/>
        </w:rPr>
        <w:t xml:space="preserve"> CONTEXTE FISCAL GÉNÉRAL</w:t>
      </w:r>
    </w:p>
    <w:p w14:paraId="7BEA27B3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b/>
          <w:bCs/>
          <w:lang w:val="fr-FR"/>
        </w:rPr>
        <w:t>Activité :</w:t>
      </w:r>
    </w:p>
    <w:p w14:paraId="6101EDBE" w14:textId="77777777" w:rsidR="008536DA" w:rsidRPr="008536DA" w:rsidRDefault="008536DA" w:rsidP="008536DA">
      <w:pPr>
        <w:numPr>
          <w:ilvl w:val="0"/>
          <w:numId w:val="1"/>
        </w:numPr>
        <w:rPr>
          <w:lang w:val="fr-FR"/>
        </w:rPr>
      </w:pPr>
      <w:r w:rsidRPr="008536DA">
        <w:rPr>
          <w:b/>
          <w:bCs/>
          <w:lang w:val="fr-FR"/>
        </w:rPr>
        <w:t>Achat de métaux précieux (or, argent, platine)</w:t>
      </w:r>
      <w:r w:rsidRPr="008536DA">
        <w:rPr>
          <w:lang w:val="fr-FR"/>
        </w:rPr>
        <w:t xml:space="preserve"> à des </w:t>
      </w:r>
      <w:r w:rsidRPr="008536DA">
        <w:rPr>
          <w:b/>
          <w:bCs/>
          <w:lang w:val="fr-FR"/>
        </w:rPr>
        <w:t>particuliers en Belgique</w:t>
      </w:r>
      <w:r w:rsidRPr="008536DA">
        <w:rPr>
          <w:lang w:val="fr-FR"/>
        </w:rPr>
        <w:t xml:space="preserve"> (intra-UE).</w:t>
      </w:r>
    </w:p>
    <w:p w14:paraId="220A8BA2" w14:textId="77777777" w:rsidR="008536DA" w:rsidRPr="008536DA" w:rsidRDefault="008536DA" w:rsidP="008536DA">
      <w:pPr>
        <w:numPr>
          <w:ilvl w:val="0"/>
          <w:numId w:val="1"/>
        </w:numPr>
        <w:rPr>
          <w:lang w:val="fr-FR"/>
        </w:rPr>
      </w:pPr>
      <w:r w:rsidRPr="008536DA">
        <w:rPr>
          <w:b/>
          <w:bCs/>
          <w:lang w:val="fr-FR"/>
        </w:rPr>
        <w:t>Revente à des professionnels en France</w:t>
      </w:r>
      <w:r w:rsidRPr="008536DA">
        <w:rPr>
          <w:lang w:val="fr-FR"/>
        </w:rPr>
        <w:t>.</w:t>
      </w:r>
    </w:p>
    <w:p w14:paraId="099B9820" w14:textId="77777777" w:rsidR="008536DA" w:rsidRPr="008536DA" w:rsidRDefault="008536DA" w:rsidP="008536DA">
      <w:pPr>
        <w:rPr>
          <w:lang w:val="fr-FR"/>
        </w:rPr>
      </w:pPr>
      <w:r w:rsidRPr="008536DA">
        <w:rPr>
          <w:lang w:val="fr-FR"/>
        </w:rPr>
        <w:t>Les métaux précieux relèvent d’un régime particulier à plusieurs titres :</w:t>
      </w:r>
    </w:p>
    <w:p w14:paraId="3127C809" w14:textId="77777777" w:rsidR="008536DA" w:rsidRPr="008536DA" w:rsidRDefault="008536DA" w:rsidP="008536DA">
      <w:pPr>
        <w:numPr>
          <w:ilvl w:val="0"/>
          <w:numId w:val="2"/>
        </w:numPr>
      </w:pPr>
      <w:proofErr w:type="spellStart"/>
      <w:r w:rsidRPr="008536DA">
        <w:t>Régime</w:t>
      </w:r>
      <w:proofErr w:type="spellEnd"/>
      <w:r w:rsidRPr="008536DA">
        <w:t xml:space="preserve"> de TVA </w:t>
      </w:r>
      <w:proofErr w:type="spellStart"/>
      <w:r w:rsidRPr="008536DA">
        <w:t>spécifique</w:t>
      </w:r>
      <w:proofErr w:type="spellEnd"/>
      <w:r w:rsidRPr="008536DA">
        <w:t>.</w:t>
      </w:r>
    </w:p>
    <w:p w14:paraId="5E31D4E3" w14:textId="77777777" w:rsidR="008536DA" w:rsidRPr="008536DA" w:rsidRDefault="008536DA" w:rsidP="008536DA">
      <w:pPr>
        <w:numPr>
          <w:ilvl w:val="0"/>
          <w:numId w:val="2"/>
        </w:numPr>
        <w:rPr>
          <w:lang w:val="fr-FR"/>
        </w:rPr>
      </w:pPr>
      <w:r w:rsidRPr="008536DA">
        <w:rPr>
          <w:lang w:val="fr-FR"/>
        </w:rPr>
        <w:t>Obligations douanières si importation depuis un pays hors UE.</w:t>
      </w:r>
    </w:p>
    <w:p w14:paraId="38C0FD94" w14:textId="77777777" w:rsidR="008536DA" w:rsidRPr="008536DA" w:rsidRDefault="008536DA" w:rsidP="008536DA">
      <w:pPr>
        <w:numPr>
          <w:ilvl w:val="0"/>
          <w:numId w:val="2"/>
        </w:numPr>
        <w:rPr>
          <w:lang w:val="fr-FR"/>
        </w:rPr>
      </w:pPr>
      <w:r w:rsidRPr="008536DA">
        <w:rPr>
          <w:lang w:val="fr-FR"/>
        </w:rPr>
        <w:t>Réglementation sur la traçabilité et lutte anti-blanchiment (LAB-FT).</w:t>
      </w:r>
    </w:p>
    <w:p w14:paraId="5ECCECEE" w14:textId="77777777" w:rsidR="008536DA" w:rsidRPr="008536DA" w:rsidRDefault="008536DA" w:rsidP="008536DA">
      <w:r w:rsidRPr="008536DA">
        <w:pict w14:anchorId="6DCBC389">
          <v:rect id="_x0000_i1056" style="width:0;height:1.5pt" o:hralign="center" o:hrstd="t" o:hr="t" fillcolor="#a0a0a0" stroked="f"/>
        </w:pict>
      </w:r>
    </w:p>
    <w:p w14:paraId="76AA6250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</w:rPr>
        <w:t>🔹</w:t>
      </w:r>
      <w:r w:rsidRPr="008536DA">
        <w:rPr>
          <w:b/>
          <w:bCs/>
          <w:lang w:val="fr-FR"/>
        </w:rPr>
        <w:t xml:space="preserve"> CAS 1 – AUTO-ENTREPRENEUR</w:t>
      </w:r>
    </w:p>
    <w:p w14:paraId="018AA0EF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  <w:lang w:val="fr-FR"/>
        </w:rPr>
        <w:t>❌</w:t>
      </w:r>
      <w:r w:rsidRPr="008536DA">
        <w:rPr>
          <w:b/>
          <w:bCs/>
          <w:lang w:val="fr-FR"/>
        </w:rPr>
        <w:t xml:space="preserve"> Limite principale :</w:t>
      </w:r>
    </w:p>
    <w:p w14:paraId="3E4CACB1" w14:textId="77777777" w:rsidR="008536DA" w:rsidRPr="008536DA" w:rsidRDefault="008536DA" w:rsidP="008536DA">
      <w:pPr>
        <w:rPr>
          <w:lang w:val="fr-FR"/>
        </w:rPr>
      </w:pPr>
      <w:r w:rsidRPr="008536DA">
        <w:rPr>
          <w:lang w:val="fr-FR"/>
        </w:rPr>
        <w:t xml:space="preserve">Un auto-entrepreneur </w:t>
      </w:r>
      <w:r w:rsidRPr="008536DA">
        <w:rPr>
          <w:b/>
          <w:bCs/>
          <w:lang w:val="fr-FR"/>
        </w:rPr>
        <w:t>ne peut pas exercer une activité d’achat-revente de métaux précieux</w:t>
      </w:r>
      <w:r w:rsidRPr="008536DA">
        <w:rPr>
          <w:lang w:val="fr-FR"/>
        </w:rPr>
        <w:t xml:space="preserve"> de manière régulière dans le cadre du régime micro-entreprise, car :</w:t>
      </w:r>
    </w:p>
    <w:p w14:paraId="1E89E12A" w14:textId="77777777" w:rsidR="008536DA" w:rsidRPr="008536DA" w:rsidRDefault="008536DA" w:rsidP="008536DA">
      <w:pPr>
        <w:numPr>
          <w:ilvl w:val="0"/>
          <w:numId w:val="3"/>
        </w:numPr>
        <w:rPr>
          <w:lang w:val="fr-FR"/>
        </w:rPr>
      </w:pPr>
      <w:r w:rsidRPr="008536DA">
        <w:rPr>
          <w:lang w:val="fr-FR"/>
        </w:rPr>
        <w:t xml:space="preserve">C’est une </w:t>
      </w:r>
      <w:r w:rsidRPr="008536DA">
        <w:rPr>
          <w:b/>
          <w:bCs/>
          <w:lang w:val="fr-FR"/>
        </w:rPr>
        <w:t>activité soumise à TVA de plein droit</w:t>
      </w:r>
      <w:r w:rsidRPr="008536DA">
        <w:rPr>
          <w:lang w:val="fr-FR"/>
        </w:rPr>
        <w:t>, incompatible avec la franchise de TVA auto-entrepreneur.</w:t>
      </w:r>
    </w:p>
    <w:p w14:paraId="2A8FC58D" w14:textId="77777777" w:rsidR="008536DA" w:rsidRPr="008536DA" w:rsidRDefault="008536DA" w:rsidP="008536DA">
      <w:pPr>
        <w:numPr>
          <w:ilvl w:val="0"/>
          <w:numId w:val="3"/>
        </w:numPr>
        <w:rPr>
          <w:lang w:val="fr-FR"/>
        </w:rPr>
      </w:pPr>
      <w:r w:rsidRPr="008536DA">
        <w:rPr>
          <w:lang w:val="fr-FR"/>
        </w:rPr>
        <w:t xml:space="preserve">Il y a une </w:t>
      </w:r>
      <w:r w:rsidRPr="008536DA">
        <w:rPr>
          <w:b/>
          <w:bCs/>
          <w:lang w:val="fr-FR"/>
        </w:rPr>
        <w:t>obligation de déclarations spécifiques</w:t>
      </w:r>
      <w:r w:rsidRPr="008536DA">
        <w:rPr>
          <w:lang w:val="fr-FR"/>
        </w:rPr>
        <w:t>, difficile à concilier avec le formalisme simplifié du statut.</w:t>
      </w:r>
    </w:p>
    <w:p w14:paraId="689A7C06" w14:textId="77777777" w:rsidR="008536DA" w:rsidRPr="008536DA" w:rsidRDefault="008536DA" w:rsidP="008536DA">
      <w:pPr>
        <w:rPr>
          <w:lang w:val="fr-FR"/>
        </w:rPr>
      </w:pPr>
      <w:r w:rsidRPr="008536DA">
        <w:rPr>
          <w:rFonts w:ascii="Segoe UI Emoji" w:hAnsi="Segoe UI Emoji" w:cs="Segoe UI Emoji"/>
        </w:rPr>
        <w:t>👉</w:t>
      </w:r>
      <w:r w:rsidRPr="008536DA">
        <w:rPr>
          <w:lang w:val="fr-FR"/>
        </w:rPr>
        <w:t xml:space="preserve"> </w:t>
      </w:r>
      <w:proofErr w:type="gramStart"/>
      <w:r w:rsidRPr="008536DA">
        <w:rPr>
          <w:b/>
          <w:bCs/>
          <w:lang w:val="fr-FR"/>
        </w:rPr>
        <w:t>Donc</w:t>
      </w:r>
      <w:r w:rsidRPr="008536DA">
        <w:rPr>
          <w:lang w:val="fr-FR"/>
        </w:rPr>
        <w:t xml:space="preserve"> :</w:t>
      </w:r>
      <w:proofErr w:type="gramEnd"/>
      <w:r w:rsidRPr="008536DA">
        <w:rPr>
          <w:lang w:val="fr-FR"/>
        </w:rPr>
        <w:t xml:space="preserve"> </w:t>
      </w:r>
      <w:r w:rsidRPr="008536DA">
        <w:rPr>
          <w:b/>
          <w:bCs/>
          <w:lang w:val="fr-FR"/>
        </w:rPr>
        <w:t>L’activité n’est pas compatible avec le statut auto-entrepreneur</w:t>
      </w:r>
      <w:r w:rsidRPr="008536DA">
        <w:rPr>
          <w:lang w:val="fr-FR"/>
        </w:rPr>
        <w:t>, sauf s’il bascule en réel simplifié ou réel normal (sortie du régime micro).</w:t>
      </w:r>
    </w:p>
    <w:p w14:paraId="0994EF2A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b/>
          <w:bCs/>
          <w:lang w:val="fr-FR"/>
        </w:rPr>
        <w:t>Si malgré tout, l'activité est exercée :</w:t>
      </w:r>
    </w:p>
    <w:p w14:paraId="31A7D0D6" w14:textId="77777777" w:rsidR="008536DA" w:rsidRPr="008536DA" w:rsidRDefault="008536DA" w:rsidP="008536DA">
      <w:pPr>
        <w:numPr>
          <w:ilvl w:val="0"/>
          <w:numId w:val="4"/>
        </w:numPr>
        <w:rPr>
          <w:lang w:val="fr-FR"/>
        </w:rPr>
      </w:pPr>
      <w:r w:rsidRPr="008536DA">
        <w:rPr>
          <w:lang w:val="fr-FR"/>
        </w:rPr>
        <w:t xml:space="preserve">Il doit sortir du régime micro-BIC et opter pour le </w:t>
      </w:r>
      <w:r w:rsidRPr="008536DA">
        <w:rPr>
          <w:b/>
          <w:bCs/>
          <w:lang w:val="fr-FR"/>
        </w:rPr>
        <w:t>régime réel</w:t>
      </w:r>
      <w:r w:rsidRPr="008536DA">
        <w:rPr>
          <w:lang w:val="fr-FR"/>
        </w:rPr>
        <w:t>.</w:t>
      </w:r>
    </w:p>
    <w:p w14:paraId="0E036C86" w14:textId="77777777" w:rsidR="008536DA" w:rsidRPr="008536DA" w:rsidRDefault="008536DA" w:rsidP="008536DA">
      <w:pPr>
        <w:numPr>
          <w:ilvl w:val="0"/>
          <w:numId w:val="4"/>
        </w:numPr>
      </w:pPr>
      <w:r w:rsidRPr="008536DA">
        <w:t xml:space="preserve">Il </w:t>
      </w:r>
      <w:proofErr w:type="spellStart"/>
      <w:proofErr w:type="gramStart"/>
      <w:r w:rsidRPr="008536DA">
        <w:t>devra</w:t>
      </w:r>
      <w:proofErr w:type="spellEnd"/>
      <w:r w:rsidRPr="008536DA">
        <w:t xml:space="preserve"> :</w:t>
      </w:r>
      <w:proofErr w:type="gramEnd"/>
    </w:p>
    <w:p w14:paraId="34670ECC" w14:textId="77777777" w:rsidR="008536DA" w:rsidRPr="008536DA" w:rsidRDefault="008536DA" w:rsidP="008536DA">
      <w:pPr>
        <w:numPr>
          <w:ilvl w:val="1"/>
          <w:numId w:val="4"/>
        </w:numPr>
        <w:rPr>
          <w:lang w:val="fr-FR"/>
        </w:rPr>
      </w:pPr>
      <w:r w:rsidRPr="008536DA">
        <w:rPr>
          <w:lang w:val="fr-FR"/>
        </w:rPr>
        <w:t>Obtenir un numéro de TVA intracommunautaire.</w:t>
      </w:r>
    </w:p>
    <w:p w14:paraId="70AF71D6" w14:textId="77777777" w:rsidR="008536DA" w:rsidRPr="008536DA" w:rsidRDefault="008536DA" w:rsidP="008536DA">
      <w:pPr>
        <w:numPr>
          <w:ilvl w:val="1"/>
          <w:numId w:val="4"/>
        </w:numPr>
        <w:rPr>
          <w:lang w:val="fr-FR"/>
        </w:rPr>
      </w:pPr>
      <w:r w:rsidRPr="008536DA">
        <w:rPr>
          <w:lang w:val="fr-FR"/>
        </w:rPr>
        <w:t>Déclarer les acquisitions intracommunautaires (DEB/EMEBI si seuils atteints).</w:t>
      </w:r>
    </w:p>
    <w:p w14:paraId="15AF14C2" w14:textId="77777777" w:rsidR="008536DA" w:rsidRPr="008536DA" w:rsidRDefault="008536DA" w:rsidP="008536DA">
      <w:pPr>
        <w:numPr>
          <w:ilvl w:val="1"/>
          <w:numId w:val="4"/>
        </w:numPr>
        <w:rPr>
          <w:lang w:val="fr-FR"/>
        </w:rPr>
      </w:pPr>
      <w:r w:rsidRPr="008536DA">
        <w:rPr>
          <w:lang w:val="fr-FR"/>
        </w:rPr>
        <w:t xml:space="preserve">Appliquer </w:t>
      </w:r>
      <w:r w:rsidRPr="008536DA">
        <w:rPr>
          <w:b/>
          <w:bCs/>
          <w:lang w:val="fr-FR"/>
        </w:rPr>
        <w:t>le régime de la marge (article 297 A CGI)</w:t>
      </w:r>
      <w:r w:rsidRPr="008536DA">
        <w:rPr>
          <w:lang w:val="fr-FR"/>
        </w:rPr>
        <w:t xml:space="preserve"> ou </w:t>
      </w:r>
      <w:r w:rsidRPr="008536DA">
        <w:rPr>
          <w:b/>
          <w:bCs/>
          <w:lang w:val="fr-FR"/>
        </w:rPr>
        <w:t>le régime général de TVA (si l’or d’investissement est concerné)</w:t>
      </w:r>
      <w:r w:rsidRPr="008536DA">
        <w:rPr>
          <w:lang w:val="fr-FR"/>
        </w:rPr>
        <w:t>.</w:t>
      </w:r>
    </w:p>
    <w:p w14:paraId="78BC0D3F" w14:textId="77777777" w:rsidR="008536DA" w:rsidRPr="008536DA" w:rsidRDefault="008536DA" w:rsidP="008536DA">
      <w:pPr>
        <w:numPr>
          <w:ilvl w:val="1"/>
          <w:numId w:val="4"/>
        </w:numPr>
        <w:rPr>
          <w:lang w:val="fr-FR"/>
        </w:rPr>
      </w:pPr>
      <w:r w:rsidRPr="008536DA">
        <w:rPr>
          <w:lang w:val="fr-FR"/>
        </w:rPr>
        <w:t>Tenir une comptabilité conforme au code du commerce.</w:t>
      </w:r>
    </w:p>
    <w:p w14:paraId="6155219F" w14:textId="77777777" w:rsidR="008536DA" w:rsidRPr="008536DA" w:rsidRDefault="008536DA" w:rsidP="008536DA">
      <w:pPr>
        <w:numPr>
          <w:ilvl w:val="1"/>
          <w:numId w:val="4"/>
        </w:numPr>
        <w:rPr>
          <w:lang w:val="fr-FR"/>
        </w:rPr>
      </w:pPr>
      <w:r w:rsidRPr="008536DA">
        <w:rPr>
          <w:lang w:val="fr-FR"/>
        </w:rPr>
        <w:t>Respecter les obligations LAB-FT (identité vendeurs, origine des fonds…).</w:t>
      </w:r>
    </w:p>
    <w:p w14:paraId="19F7B4CB" w14:textId="77777777" w:rsidR="008536DA" w:rsidRPr="008536DA" w:rsidRDefault="008536DA" w:rsidP="008536DA">
      <w:r w:rsidRPr="008536DA">
        <w:lastRenderedPageBreak/>
        <w:pict w14:anchorId="3D1942F3">
          <v:rect id="_x0000_i1057" style="width:0;height:1.5pt" o:hralign="center" o:hrstd="t" o:hr="t" fillcolor="#a0a0a0" stroked="f"/>
        </w:pict>
      </w:r>
    </w:p>
    <w:p w14:paraId="4EDF9607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</w:rPr>
        <w:t>🔸</w:t>
      </w:r>
      <w:r w:rsidRPr="008536DA">
        <w:rPr>
          <w:b/>
          <w:bCs/>
          <w:lang w:val="fr-FR"/>
        </w:rPr>
        <w:t xml:space="preserve"> CAS 2 – SAS (Société par Actions Simplifiée)</w:t>
      </w:r>
    </w:p>
    <w:p w14:paraId="728B72EA" w14:textId="77777777" w:rsidR="008536DA" w:rsidRPr="008536DA" w:rsidRDefault="008536DA" w:rsidP="008536DA">
      <w:pPr>
        <w:rPr>
          <w:lang w:val="fr-FR"/>
        </w:rPr>
      </w:pPr>
      <w:r w:rsidRPr="008536DA">
        <w:rPr>
          <w:lang w:val="fr-FR"/>
        </w:rPr>
        <w:t xml:space="preserve">Ce statut est </w:t>
      </w:r>
      <w:r w:rsidRPr="008536DA">
        <w:rPr>
          <w:b/>
          <w:bCs/>
          <w:lang w:val="fr-FR"/>
        </w:rPr>
        <w:t>parfaitement adapté</w:t>
      </w:r>
      <w:r w:rsidRPr="008536DA">
        <w:rPr>
          <w:lang w:val="fr-FR"/>
        </w:rPr>
        <w:t xml:space="preserve"> à l’activité :</w:t>
      </w:r>
    </w:p>
    <w:p w14:paraId="6AC47C2F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</w:rPr>
        <w:t>🔍</w:t>
      </w:r>
      <w:r w:rsidRPr="008536DA">
        <w:rPr>
          <w:b/>
          <w:bCs/>
          <w:lang w:val="fr-FR"/>
        </w:rPr>
        <w:t xml:space="preserve"> 1. Lors de l'achat à un particulier belge</w:t>
      </w:r>
    </w:p>
    <w:p w14:paraId="0EDCF69C" w14:textId="77777777" w:rsidR="008536DA" w:rsidRPr="008536DA" w:rsidRDefault="008536DA" w:rsidP="008536DA">
      <w:pPr>
        <w:numPr>
          <w:ilvl w:val="0"/>
          <w:numId w:val="5"/>
        </w:numPr>
        <w:rPr>
          <w:lang w:val="fr-FR"/>
        </w:rPr>
      </w:pPr>
      <w:r w:rsidRPr="008536DA">
        <w:rPr>
          <w:lang w:val="fr-FR"/>
        </w:rPr>
        <w:t xml:space="preserve">Le particulier </w:t>
      </w:r>
      <w:r w:rsidRPr="008536DA">
        <w:rPr>
          <w:b/>
          <w:bCs/>
          <w:lang w:val="fr-FR"/>
        </w:rPr>
        <w:t>n’est pas assujetti à la TVA</w:t>
      </w:r>
      <w:r w:rsidRPr="008536DA">
        <w:rPr>
          <w:lang w:val="fr-FR"/>
        </w:rPr>
        <w:t xml:space="preserve"> </w:t>
      </w:r>
      <w:r w:rsidRPr="008536DA">
        <w:rPr>
          <w:rFonts w:ascii="Cambria Math" w:hAnsi="Cambria Math" w:cs="Cambria Math"/>
          <w:lang w:val="fr-FR"/>
        </w:rPr>
        <w:t>⇒</w:t>
      </w:r>
      <w:r w:rsidRPr="008536DA">
        <w:rPr>
          <w:lang w:val="fr-FR"/>
        </w:rPr>
        <w:t xml:space="preserve"> pas de TVA d</w:t>
      </w:r>
      <w:r w:rsidRPr="008536DA">
        <w:rPr>
          <w:rFonts w:ascii="Aptos" w:hAnsi="Aptos" w:cs="Aptos"/>
          <w:lang w:val="fr-FR"/>
        </w:rPr>
        <w:t>é</w:t>
      </w:r>
      <w:r w:rsidRPr="008536DA">
        <w:rPr>
          <w:lang w:val="fr-FR"/>
        </w:rPr>
        <w:t>ductible.</w:t>
      </w:r>
    </w:p>
    <w:p w14:paraId="4DED88ED" w14:textId="77777777" w:rsidR="008536DA" w:rsidRPr="008536DA" w:rsidRDefault="008536DA" w:rsidP="008536DA">
      <w:pPr>
        <w:numPr>
          <w:ilvl w:val="0"/>
          <w:numId w:val="5"/>
        </w:numPr>
        <w:rPr>
          <w:lang w:val="fr-FR"/>
        </w:rPr>
      </w:pPr>
      <w:r w:rsidRPr="008536DA">
        <w:rPr>
          <w:lang w:val="fr-FR"/>
        </w:rPr>
        <w:t xml:space="preserve">Acquisition intracommunautaire </w:t>
      </w:r>
      <w:r w:rsidRPr="008536DA">
        <w:rPr>
          <w:b/>
          <w:bCs/>
          <w:lang w:val="fr-FR"/>
        </w:rPr>
        <w:t>hors champ de TVA</w:t>
      </w:r>
      <w:r w:rsidRPr="008536DA">
        <w:rPr>
          <w:lang w:val="fr-FR"/>
        </w:rPr>
        <w:t>, mais :</w:t>
      </w:r>
    </w:p>
    <w:p w14:paraId="2CAAC62A" w14:textId="77777777" w:rsidR="008536DA" w:rsidRPr="008536DA" w:rsidRDefault="008536DA" w:rsidP="008536DA">
      <w:pPr>
        <w:numPr>
          <w:ilvl w:val="1"/>
          <w:numId w:val="5"/>
        </w:numPr>
        <w:rPr>
          <w:lang w:val="fr-FR"/>
        </w:rPr>
      </w:pPr>
      <w:r w:rsidRPr="008536DA">
        <w:rPr>
          <w:b/>
          <w:bCs/>
          <w:lang w:val="fr-FR"/>
        </w:rPr>
        <w:t>Tenue d’un registre</w:t>
      </w:r>
      <w:r w:rsidRPr="008536DA">
        <w:rPr>
          <w:lang w:val="fr-FR"/>
        </w:rPr>
        <w:t xml:space="preserve"> (achat à non-assujetti).</w:t>
      </w:r>
    </w:p>
    <w:p w14:paraId="2E80F979" w14:textId="77777777" w:rsidR="008536DA" w:rsidRPr="008536DA" w:rsidRDefault="008536DA" w:rsidP="008536DA">
      <w:pPr>
        <w:numPr>
          <w:ilvl w:val="1"/>
          <w:numId w:val="5"/>
        </w:numPr>
        <w:rPr>
          <w:lang w:val="fr-FR"/>
        </w:rPr>
      </w:pPr>
      <w:r w:rsidRPr="008536DA">
        <w:rPr>
          <w:lang w:val="fr-FR"/>
        </w:rPr>
        <w:t xml:space="preserve">Déclaration d’acquisition dans la </w:t>
      </w:r>
      <w:r w:rsidRPr="008536DA">
        <w:rPr>
          <w:b/>
          <w:bCs/>
          <w:lang w:val="fr-FR"/>
        </w:rPr>
        <w:t>DEB/EMEBI</w:t>
      </w:r>
      <w:r w:rsidRPr="008536DA">
        <w:rPr>
          <w:lang w:val="fr-FR"/>
        </w:rPr>
        <w:t xml:space="preserve"> si les seuils annuels sont atteints.</w:t>
      </w:r>
    </w:p>
    <w:p w14:paraId="24EF63FC" w14:textId="77777777" w:rsidR="008536DA" w:rsidRPr="008536DA" w:rsidRDefault="008536DA" w:rsidP="008536DA">
      <w:pPr>
        <w:numPr>
          <w:ilvl w:val="1"/>
          <w:numId w:val="5"/>
        </w:numPr>
        <w:rPr>
          <w:lang w:val="fr-FR"/>
        </w:rPr>
      </w:pPr>
      <w:r w:rsidRPr="008536DA">
        <w:rPr>
          <w:lang w:val="fr-FR"/>
        </w:rPr>
        <w:t>Conservation des justificatifs de provenance.</w:t>
      </w:r>
    </w:p>
    <w:p w14:paraId="0EDB89E6" w14:textId="77777777" w:rsidR="008536DA" w:rsidRPr="008536DA" w:rsidRDefault="008536DA" w:rsidP="008536DA">
      <w:pPr>
        <w:numPr>
          <w:ilvl w:val="1"/>
          <w:numId w:val="5"/>
        </w:numPr>
        <w:rPr>
          <w:lang w:val="fr-FR"/>
        </w:rPr>
      </w:pPr>
      <w:r w:rsidRPr="008536DA">
        <w:rPr>
          <w:lang w:val="fr-FR"/>
        </w:rPr>
        <w:t>Respect des règles de LAB-FT (fiche vendeur, vérification d’identité, déclaration Tracfin si doute).</w:t>
      </w:r>
    </w:p>
    <w:p w14:paraId="1745FDBF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</w:rPr>
        <w:t>🧾</w:t>
      </w:r>
      <w:r w:rsidRPr="008536DA">
        <w:rPr>
          <w:b/>
          <w:bCs/>
          <w:lang w:val="fr-FR"/>
        </w:rPr>
        <w:t xml:space="preserve"> 2. Lors de la revente à un professionnel en France</w:t>
      </w:r>
    </w:p>
    <w:p w14:paraId="73243CE9" w14:textId="77777777" w:rsidR="008536DA" w:rsidRPr="008536DA" w:rsidRDefault="008536DA" w:rsidP="008536DA">
      <w:pPr>
        <w:rPr>
          <w:lang w:val="fr-FR"/>
        </w:rPr>
      </w:pPr>
      <w:r w:rsidRPr="008536DA">
        <w:rPr>
          <w:lang w:val="fr-FR"/>
        </w:rPr>
        <w:t>Deux options :</w:t>
      </w:r>
    </w:p>
    <w:p w14:paraId="50419D25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</w:rPr>
        <w:t>🟡</w:t>
      </w:r>
      <w:r w:rsidRPr="008536DA">
        <w:rPr>
          <w:b/>
          <w:bCs/>
          <w:lang w:val="fr-FR"/>
        </w:rPr>
        <w:t xml:space="preserve"> Régime de la marge (article 297 A du CGI</w:t>
      </w:r>
      <w:proofErr w:type="gramStart"/>
      <w:r w:rsidRPr="008536DA">
        <w:rPr>
          <w:b/>
          <w:bCs/>
          <w:lang w:val="fr-FR"/>
        </w:rPr>
        <w:t>) :</w:t>
      </w:r>
      <w:proofErr w:type="gramEnd"/>
    </w:p>
    <w:p w14:paraId="003680DE" w14:textId="77777777" w:rsidR="008536DA" w:rsidRPr="008536DA" w:rsidRDefault="008536DA" w:rsidP="008536DA">
      <w:pPr>
        <w:numPr>
          <w:ilvl w:val="0"/>
          <w:numId w:val="6"/>
        </w:numPr>
        <w:rPr>
          <w:lang w:val="fr-FR"/>
        </w:rPr>
      </w:pPr>
      <w:r w:rsidRPr="008536DA">
        <w:rPr>
          <w:lang w:val="fr-FR"/>
        </w:rPr>
        <w:t xml:space="preserve">Applicable si revente d’objets d’occasion, y compris métaux précieux </w:t>
      </w:r>
      <w:r w:rsidRPr="008536DA">
        <w:rPr>
          <w:b/>
          <w:bCs/>
          <w:lang w:val="fr-FR"/>
        </w:rPr>
        <w:t>non transformés</w:t>
      </w:r>
      <w:r w:rsidRPr="008536DA">
        <w:rPr>
          <w:lang w:val="fr-FR"/>
        </w:rPr>
        <w:t>.</w:t>
      </w:r>
    </w:p>
    <w:p w14:paraId="45FA71C1" w14:textId="77777777" w:rsidR="008536DA" w:rsidRPr="008536DA" w:rsidRDefault="008536DA" w:rsidP="008536DA">
      <w:pPr>
        <w:numPr>
          <w:ilvl w:val="0"/>
          <w:numId w:val="6"/>
        </w:numPr>
        <w:rPr>
          <w:lang w:val="fr-FR"/>
        </w:rPr>
      </w:pPr>
      <w:r w:rsidRPr="008536DA">
        <w:rPr>
          <w:lang w:val="fr-FR"/>
        </w:rPr>
        <w:t xml:space="preserve">TVA uniquement sur la </w:t>
      </w:r>
      <w:r w:rsidRPr="008536DA">
        <w:rPr>
          <w:b/>
          <w:bCs/>
          <w:lang w:val="fr-FR"/>
        </w:rPr>
        <w:t>marge</w:t>
      </w:r>
      <w:r w:rsidRPr="008536DA">
        <w:rPr>
          <w:lang w:val="fr-FR"/>
        </w:rPr>
        <w:t xml:space="preserve"> (prix de vente – prix d’achat).</w:t>
      </w:r>
    </w:p>
    <w:p w14:paraId="33EAE04B" w14:textId="77777777" w:rsidR="008536DA" w:rsidRPr="008536DA" w:rsidRDefault="008536DA" w:rsidP="008536DA">
      <w:pPr>
        <w:numPr>
          <w:ilvl w:val="0"/>
          <w:numId w:val="6"/>
        </w:numPr>
        <w:rPr>
          <w:lang w:val="fr-FR"/>
        </w:rPr>
      </w:pPr>
      <w:r w:rsidRPr="008536DA">
        <w:rPr>
          <w:lang w:val="fr-FR"/>
        </w:rPr>
        <w:t xml:space="preserve">Condition : l’achat doit être fait auprès d’un </w:t>
      </w:r>
      <w:r w:rsidRPr="008536DA">
        <w:rPr>
          <w:b/>
          <w:bCs/>
          <w:lang w:val="fr-FR"/>
        </w:rPr>
        <w:t>non-assujetti à la TVA</w:t>
      </w:r>
      <w:r w:rsidRPr="008536DA">
        <w:rPr>
          <w:lang w:val="fr-FR"/>
        </w:rPr>
        <w:t xml:space="preserve"> (ex. : particulier).</w:t>
      </w:r>
    </w:p>
    <w:p w14:paraId="54AB63AE" w14:textId="77777777" w:rsidR="008536DA" w:rsidRPr="008536DA" w:rsidRDefault="008536DA" w:rsidP="008536DA">
      <w:pPr>
        <w:numPr>
          <w:ilvl w:val="0"/>
          <w:numId w:val="6"/>
        </w:numPr>
        <w:rPr>
          <w:lang w:val="fr-FR"/>
        </w:rPr>
      </w:pPr>
      <w:r w:rsidRPr="008536DA">
        <w:rPr>
          <w:lang w:val="fr-FR"/>
        </w:rPr>
        <w:t xml:space="preserve">Mention obligatoire sur facture : </w:t>
      </w:r>
      <w:r w:rsidRPr="008536DA">
        <w:rPr>
          <w:b/>
          <w:bCs/>
          <w:lang w:val="fr-FR"/>
        </w:rPr>
        <w:t>« Régime de la marge – Biens d’occasion »</w:t>
      </w:r>
      <w:r w:rsidRPr="008536DA">
        <w:rPr>
          <w:lang w:val="fr-FR"/>
        </w:rPr>
        <w:t>.</w:t>
      </w:r>
    </w:p>
    <w:p w14:paraId="4E1BDA29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</w:rPr>
        <w:t>🔵</w:t>
      </w:r>
      <w:r w:rsidRPr="008536DA">
        <w:rPr>
          <w:b/>
          <w:bCs/>
          <w:lang w:val="fr-FR"/>
        </w:rPr>
        <w:t xml:space="preserve"> Régime normal de </w:t>
      </w:r>
      <w:proofErr w:type="gramStart"/>
      <w:r w:rsidRPr="008536DA">
        <w:rPr>
          <w:b/>
          <w:bCs/>
          <w:lang w:val="fr-FR"/>
        </w:rPr>
        <w:t>TVA :</w:t>
      </w:r>
      <w:proofErr w:type="gramEnd"/>
    </w:p>
    <w:p w14:paraId="1D8D2978" w14:textId="77777777" w:rsidR="008536DA" w:rsidRPr="008536DA" w:rsidRDefault="008536DA" w:rsidP="008536DA">
      <w:pPr>
        <w:numPr>
          <w:ilvl w:val="0"/>
          <w:numId w:val="7"/>
        </w:numPr>
        <w:rPr>
          <w:lang w:val="fr-FR"/>
        </w:rPr>
      </w:pPr>
      <w:r w:rsidRPr="008536DA">
        <w:rPr>
          <w:lang w:val="fr-FR"/>
        </w:rPr>
        <w:t>Si l’or vendu est de l’</w:t>
      </w:r>
      <w:r w:rsidRPr="008536DA">
        <w:rPr>
          <w:b/>
          <w:bCs/>
          <w:lang w:val="fr-FR"/>
        </w:rPr>
        <w:t>or d’investissement</w:t>
      </w:r>
      <w:r w:rsidRPr="008536DA">
        <w:rPr>
          <w:lang w:val="fr-FR"/>
        </w:rPr>
        <w:t xml:space="preserve"> (lingots &gt; 995/1000 ou pièces cotées).</w:t>
      </w:r>
    </w:p>
    <w:p w14:paraId="4B7C9A83" w14:textId="77777777" w:rsidR="008536DA" w:rsidRPr="008536DA" w:rsidRDefault="008536DA" w:rsidP="008536DA">
      <w:pPr>
        <w:numPr>
          <w:ilvl w:val="0"/>
          <w:numId w:val="7"/>
        </w:numPr>
        <w:rPr>
          <w:lang w:val="fr-FR"/>
        </w:rPr>
      </w:pPr>
      <w:r w:rsidRPr="008536DA">
        <w:rPr>
          <w:lang w:val="fr-FR"/>
        </w:rPr>
        <w:t xml:space="preserve">Vente </w:t>
      </w:r>
      <w:r w:rsidRPr="008536DA">
        <w:rPr>
          <w:b/>
          <w:bCs/>
          <w:lang w:val="fr-FR"/>
        </w:rPr>
        <w:t>exonérée de TVA</w:t>
      </w:r>
      <w:r w:rsidRPr="008536DA">
        <w:rPr>
          <w:lang w:val="fr-FR"/>
        </w:rPr>
        <w:t xml:space="preserve"> sous conditions (art. 298 sexdecies A et suivants du CGI).</w:t>
      </w:r>
    </w:p>
    <w:p w14:paraId="06407D18" w14:textId="77777777" w:rsidR="008536DA" w:rsidRPr="008536DA" w:rsidRDefault="008536DA" w:rsidP="008536DA">
      <w:pPr>
        <w:numPr>
          <w:ilvl w:val="0"/>
          <w:numId w:val="7"/>
        </w:numPr>
        <w:rPr>
          <w:lang w:val="fr-FR"/>
        </w:rPr>
      </w:pPr>
      <w:r w:rsidRPr="008536DA">
        <w:rPr>
          <w:lang w:val="fr-FR"/>
        </w:rPr>
        <w:t xml:space="preserve">Si l’or est modifié (bijoux, objets d’art…), TVA applicable sur la </w:t>
      </w:r>
      <w:r w:rsidRPr="008536DA">
        <w:rPr>
          <w:b/>
          <w:bCs/>
          <w:lang w:val="fr-FR"/>
        </w:rPr>
        <w:t>valeur totale</w:t>
      </w:r>
      <w:r w:rsidRPr="008536DA">
        <w:rPr>
          <w:lang w:val="fr-FR"/>
        </w:rPr>
        <w:t>.</w:t>
      </w:r>
    </w:p>
    <w:p w14:paraId="730BAB9A" w14:textId="77777777" w:rsidR="008536DA" w:rsidRPr="008536DA" w:rsidRDefault="008536DA" w:rsidP="008536DA">
      <w:pPr>
        <w:rPr>
          <w:b/>
          <w:bCs/>
        </w:rPr>
      </w:pPr>
      <w:r w:rsidRPr="008536DA">
        <w:rPr>
          <w:rFonts w:ascii="Segoe UI Emoji" w:hAnsi="Segoe UI Emoji" w:cs="Segoe UI Emoji"/>
          <w:b/>
          <w:bCs/>
        </w:rPr>
        <w:t>📊</w:t>
      </w:r>
      <w:r w:rsidRPr="008536DA">
        <w:rPr>
          <w:b/>
          <w:bCs/>
        </w:rPr>
        <w:t xml:space="preserve"> Obligations </w:t>
      </w:r>
      <w:proofErr w:type="spellStart"/>
      <w:proofErr w:type="gramStart"/>
      <w:r w:rsidRPr="008536DA">
        <w:rPr>
          <w:b/>
          <w:bCs/>
        </w:rPr>
        <w:t>déclaratives</w:t>
      </w:r>
      <w:proofErr w:type="spellEnd"/>
      <w:r w:rsidRPr="008536DA">
        <w:rPr>
          <w:b/>
          <w:bCs/>
        </w:rPr>
        <w:t xml:space="preserve"> :</w:t>
      </w:r>
      <w:proofErr w:type="gramEnd"/>
    </w:p>
    <w:p w14:paraId="21C32164" w14:textId="77777777" w:rsidR="008536DA" w:rsidRPr="008536DA" w:rsidRDefault="008536DA" w:rsidP="008536DA">
      <w:pPr>
        <w:numPr>
          <w:ilvl w:val="0"/>
          <w:numId w:val="8"/>
        </w:numPr>
        <w:rPr>
          <w:lang w:val="fr-FR"/>
        </w:rPr>
      </w:pPr>
      <w:r w:rsidRPr="008536DA">
        <w:rPr>
          <w:lang w:val="fr-FR"/>
        </w:rPr>
        <w:t>Déclaration de TVA (CA3 mensuelle ou trimestrielle).</w:t>
      </w:r>
    </w:p>
    <w:p w14:paraId="55E4C947" w14:textId="77777777" w:rsidR="008536DA" w:rsidRPr="008536DA" w:rsidRDefault="008536DA" w:rsidP="008536DA">
      <w:pPr>
        <w:numPr>
          <w:ilvl w:val="0"/>
          <w:numId w:val="8"/>
        </w:numPr>
      </w:pPr>
      <w:r w:rsidRPr="008536DA">
        <w:t xml:space="preserve">Tenue de </w:t>
      </w:r>
      <w:proofErr w:type="spellStart"/>
      <w:r w:rsidRPr="008536DA">
        <w:t>comptabilité</w:t>
      </w:r>
      <w:proofErr w:type="spellEnd"/>
      <w:r w:rsidRPr="008536DA">
        <w:t xml:space="preserve"> </w:t>
      </w:r>
      <w:proofErr w:type="spellStart"/>
      <w:r w:rsidRPr="008536DA">
        <w:t>conforme</w:t>
      </w:r>
      <w:proofErr w:type="spellEnd"/>
      <w:r w:rsidRPr="008536DA">
        <w:t>.</w:t>
      </w:r>
    </w:p>
    <w:p w14:paraId="450A7B5D" w14:textId="77777777" w:rsidR="008536DA" w:rsidRPr="008536DA" w:rsidRDefault="008536DA" w:rsidP="008536DA">
      <w:pPr>
        <w:numPr>
          <w:ilvl w:val="0"/>
          <w:numId w:val="8"/>
        </w:numPr>
        <w:rPr>
          <w:lang w:val="fr-FR"/>
        </w:rPr>
      </w:pPr>
      <w:r w:rsidRPr="008536DA">
        <w:rPr>
          <w:lang w:val="fr-FR"/>
        </w:rPr>
        <w:t>Déclaration de la DEB/EMEBI si applicable.</w:t>
      </w:r>
    </w:p>
    <w:p w14:paraId="3E2B7F12" w14:textId="77777777" w:rsidR="008536DA" w:rsidRPr="008536DA" w:rsidRDefault="008536DA" w:rsidP="008536DA">
      <w:pPr>
        <w:numPr>
          <w:ilvl w:val="0"/>
          <w:numId w:val="8"/>
        </w:numPr>
        <w:rPr>
          <w:lang w:val="fr-FR"/>
        </w:rPr>
      </w:pPr>
      <w:r w:rsidRPr="008536DA">
        <w:rPr>
          <w:lang w:val="fr-FR"/>
        </w:rPr>
        <w:t>Déclaration annuelle DAS2 si commissions ou honoraires versés.</w:t>
      </w:r>
    </w:p>
    <w:p w14:paraId="25B698AD" w14:textId="77777777" w:rsidR="008536DA" w:rsidRPr="008536DA" w:rsidRDefault="008536DA" w:rsidP="008536DA">
      <w:pPr>
        <w:numPr>
          <w:ilvl w:val="0"/>
          <w:numId w:val="8"/>
        </w:numPr>
      </w:pPr>
      <w:proofErr w:type="spellStart"/>
      <w:r w:rsidRPr="008536DA">
        <w:t>Déclaration</w:t>
      </w:r>
      <w:proofErr w:type="spellEnd"/>
      <w:r w:rsidRPr="008536DA">
        <w:t xml:space="preserve"> LAB-FT.</w:t>
      </w:r>
    </w:p>
    <w:p w14:paraId="690BF518" w14:textId="77777777" w:rsidR="008536DA" w:rsidRPr="008536DA" w:rsidRDefault="008536DA" w:rsidP="008536DA">
      <w:r w:rsidRPr="008536DA">
        <w:pict w14:anchorId="0D2A3893">
          <v:rect id="_x0000_i1058" style="width:0;height:1.5pt" o:hralign="center" o:hrstd="t" o:hr="t" fillcolor="#a0a0a0" stroked="f"/>
        </w:pict>
      </w:r>
    </w:p>
    <w:p w14:paraId="0AC6882B" w14:textId="77777777" w:rsidR="008536DA" w:rsidRPr="008536DA" w:rsidRDefault="008536DA" w:rsidP="008536DA">
      <w:pPr>
        <w:rPr>
          <w:b/>
          <w:bCs/>
        </w:rPr>
      </w:pPr>
      <w:r w:rsidRPr="008536DA">
        <w:rPr>
          <w:rFonts w:ascii="Segoe UI Emoji" w:hAnsi="Segoe UI Emoji" w:cs="Segoe UI Emoji"/>
          <w:b/>
          <w:bCs/>
        </w:rPr>
        <w:t>⚠️</w:t>
      </w:r>
      <w:r w:rsidRPr="008536DA">
        <w:rPr>
          <w:b/>
          <w:bCs/>
        </w:rPr>
        <w:t xml:space="preserve"> POINTS DE VIGILANCE COMMUNS</w:t>
      </w:r>
    </w:p>
    <w:p w14:paraId="7D62830E" w14:textId="77777777" w:rsidR="008536DA" w:rsidRPr="008536DA" w:rsidRDefault="008536DA" w:rsidP="008536DA">
      <w:pPr>
        <w:numPr>
          <w:ilvl w:val="0"/>
          <w:numId w:val="9"/>
        </w:numPr>
        <w:rPr>
          <w:lang w:val="fr-FR"/>
        </w:rPr>
      </w:pPr>
      <w:r w:rsidRPr="008536DA">
        <w:rPr>
          <w:lang w:val="fr-FR"/>
        </w:rPr>
        <w:t xml:space="preserve">Bien identifier la nature du métal : </w:t>
      </w:r>
      <w:r w:rsidRPr="008536DA">
        <w:rPr>
          <w:b/>
          <w:bCs/>
          <w:lang w:val="fr-FR"/>
        </w:rPr>
        <w:t>or d’investissement ou non</w:t>
      </w:r>
      <w:r w:rsidRPr="008536DA">
        <w:rPr>
          <w:lang w:val="fr-FR"/>
        </w:rPr>
        <w:t>.</w:t>
      </w:r>
    </w:p>
    <w:p w14:paraId="474A9B15" w14:textId="77777777" w:rsidR="008536DA" w:rsidRPr="008536DA" w:rsidRDefault="008536DA" w:rsidP="008536DA">
      <w:pPr>
        <w:numPr>
          <w:ilvl w:val="0"/>
          <w:numId w:val="9"/>
        </w:numPr>
        <w:rPr>
          <w:lang w:val="fr-FR"/>
        </w:rPr>
      </w:pPr>
      <w:r w:rsidRPr="008536DA">
        <w:rPr>
          <w:lang w:val="fr-FR"/>
        </w:rPr>
        <w:lastRenderedPageBreak/>
        <w:t xml:space="preserve">Avoir une </w:t>
      </w:r>
      <w:r w:rsidRPr="008536DA">
        <w:rPr>
          <w:b/>
          <w:bCs/>
          <w:lang w:val="fr-FR"/>
        </w:rPr>
        <w:t>traçabilité complète</w:t>
      </w:r>
      <w:r w:rsidRPr="008536DA">
        <w:rPr>
          <w:lang w:val="fr-FR"/>
        </w:rPr>
        <w:t xml:space="preserve"> de chaque transaction.</w:t>
      </w:r>
    </w:p>
    <w:p w14:paraId="142C5D28" w14:textId="77777777" w:rsidR="008536DA" w:rsidRPr="008536DA" w:rsidRDefault="008536DA" w:rsidP="008536DA">
      <w:pPr>
        <w:numPr>
          <w:ilvl w:val="0"/>
          <w:numId w:val="9"/>
        </w:numPr>
        <w:rPr>
          <w:lang w:val="fr-FR"/>
        </w:rPr>
      </w:pPr>
      <w:r w:rsidRPr="008536DA">
        <w:rPr>
          <w:lang w:val="fr-FR"/>
        </w:rPr>
        <w:t xml:space="preserve">Être en conformité avec la réglementation </w:t>
      </w:r>
      <w:r w:rsidRPr="008536DA">
        <w:rPr>
          <w:b/>
          <w:bCs/>
          <w:lang w:val="fr-FR"/>
        </w:rPr>
        <w:t>Tracfin</w:t>
      </w:r>
      <w:r w:rsidRPr="008536DA">
        <w:rPr>
          <w:lang w:val="fr-FR"/>
        </w:rPr>
        <w:t xml:space="preserve"> (déclaration obligatoire si suspicion de blanchiment).</w:t>
      </w:r>
    </w:p>
    <w:p w14:paraId="04FE89EC" w14:textId="77777777" w:rsidR="008536DA" w:rsidRPr="008536DA" w:rsidRDefault="008536DA" w:rsidP="008536DA">
      <w:pPr>
        <w:numPr>
          <w:ilvl w:val="0"/>
          <w:numId w:val="9"/>
        </w:numPr>
        <w:rPr>
          <w:lang w:val="fr-FR"/>
        </w:rPr>
      </w:pPr>
      <w:r w:rsidRPr="008536DA">
        <w:rPr>
          <w:lang w:val="fr-FR"/>
        </w:rPr>
        <w:t xml:space="preserve">Conservation des justificatifs d’achat au moins </w:t>
      </w:r>
      <w:r w:rsidRPr="008536DA">
        <w:rPr>
          <w:b/>
          <w:bCs/>
          <w:lang w:val="fr-FR"/>
        </w:rPr>
        <w:t>6 ans</w:t>
      </w:r>
      <w:r w:rsidRPr="008536DA">
        <w:rPr>
          <w:lang w:val="fr-FR"/>
        </w:rPr>
        <w:t>.</w:t>
      </w:r>
    </w:p>
    <w:p w14:paraId="33FDD3AA" w14:textId="77777777" w:rsidR="008536DA" w:rsidRPr="008536DA" w:rsidRDefault="008536DA" w:rsidP="008536DA">
      <w:r w:rsidRPr="008536DA">
        <w:pict w14:anchorId="27C92024">
          <v:rect id="_x0000_i1059" style="width:0;height:1.5pt" o:hralign="center" o:hrstd="t" o:hr="t" fillcolor="#a0a0a0" stroked="f"/>
        </w:pict>
      </w:r>
    </w:p>
    <w:p w14:paraId="2BADEBB0" w14:textId="77777777" w:rsidR="008536DA" w:rsidRPr="008536DA" w:rsidRDefault="008536DA" w:rsidP="008536DA">
      <w:pPr>
        <w:rPr>
          <w:b/>
          <w:bCs/>
          <w:lang w:val="fr-FR"/>
        </w:rPr>
      </w:pPr>
      <w:r w:rsidRPr="008536DA">
        <w:rPr>
          <w:rFonts w:ascii="Segoe UI Emoji" w:hAnsi="Segoe UI Emoji" w:cs="Segoe UI Emoji"/>
          <w:b/>
          <w:bCs/>
        </w:rPr>
        <w:t>📝</w:t>
      </w:r>
      <w:r w:rsidRPr="008536DA">
        <w:rPr>
          <w:b/>
          <w:bCs/>
          <w:lang w:val="fr-FR"/>
        </w:rPr>
        <w:t xml:space="preserve"> CONSEIL STRATÉGIQUE</w:t>
      </w:r>
    </w:p>
    <w:p w14:paraId="4A378AFD" w14:textId="77777777" w:rsidR="008536DA" w:rsidRPr="008536DA" w:rsidRDefault="008536DA" w:rsidP="008536DA">
      <w:pPr>
        <w:rPr>
          <w:lang w:val="fr-FR"/>
        </w:rPr>
      </w:pPr>
      <w:r w:rsidRPr="008536DA">
        <w:rPr>
          <w:rFonts w:ascii="Segoe UI Emoji" w:hAnsi="Segoe UI Emoji" w:cs="Segoe UI Emoji"/>
        </w:rPr>
        <w:t>🔧</w:t>
      </w:r>
      <w:r w:rsidRPr="008536DA">
        <w:rPr>
          <w:lang w:val="fr-FR"/>
        </w:rPr>
        <w:t xml:space="preserve"> Pour ce type d'activité, il est fortement </w:t>
      </w:r>
      <w:proofErr w:type="gramStart"/>
      <w:r w:rsidRPr="008536DA">
        <w:rPr>
          <w:lang w:val="fr-FR"/>
        </w:rPr>
        <w:t>recommandé :</w:t>
      </w:r>
      <w:proofErr w:type="gramEnd"/>
    </w:p>
    <w:p w14:paraId="4FDBF3C3" w14:textId="77777777" w:rsidR="008536DA" w:rsidRPr="008536DA" w:rsidRDefault="008536DA" w:rsidP="008536DA">
      <w:pPr>
        <w:numPr>
          <w:ilvl w:val="0"/>
          <w:numId w:val="10"/>
        </w:numPr>
        <w:rPr>
          <w:lang w:val="fr-FR"/>
        </w:rPr>
      </w:pPr>
      <w:r w:rsidRPr="008536DA">
        <w:rPr>
          <w:lang w:val="fr-FR"/>
        </w:rPr>
        <w:t xml:space="preserve">De créer une </w:t>
      </w:r>
      <w:r w:rsidRPr="008536DA">
        <w:rPr>
          <w:b/>
          <w:bCs/>
          <w:lang w:val="fr-FR"/>
        </w:rPr>
        <w:t>SAS</w:t>
      </w:r>
      <w:r w:rsidRPr="008536DA">
        <w:rPr>
          <w:lang w:val="fr-FR"/>
        </w:rPr>
        <w:t xml:space="preserve"> ou </w:t>
      </w:r>
      <w:r w:rsidRPr="008536DA">
        <w:rPr>
          <w:b/>
          <w:bCs/>
          <w:lang w:val="fr-FR"/>
        </w:rPr>
        <w:t>SASU</w:t>
      </w:r>
      <w:r w:rsidRPr="008536DA">
        <w:rPr>
          <w:lang w:val="fr-FR"/>
        </w:rPr>
        <w:t xml:space="preserve"> soumise à l’IS.</w:t>
      </w:r>
    </w:p>
    <w:p w14:paraId="4423503D" w14:textId="77777777" w:rsidR="008536DA" w:rsidRPr="008536DA" w:rsidRDefault="008536DA" w:rsidP="008536DA">
      <w:pPr>
        <w:numPr>
          <w:ilvl w:val="0"/>
          <w:numId w:val="10"/>
        </w:numPr>
        <w:rPr>
          <w:lang w:val="fr-FR"/>
        </w:rPr>
      </w:pPr>
      <w:r w:rsidRPr="008536DA">
        <w:rPr>
          <w:lang w:val="fr-FR"/>
        </w:rPr>
        <w:t xml:space="preserve">D’avoir un </w:t>
      </w:r>
      <w:r w:rsidRPr="008536DA">
        <w:rPr>
          <w:b/>
          <w:bCs/>
          <w:lang w:val="fr-FR"/>
        </w:rPr>
        <w:t>expert-comptable</w:t>
      </w:r>
      <w:r w:rsidRPr="008536DA">
        <w:rPr>
          <w:lang w:val="fr-FR"/>
        </w:rPr>
        <w:t xml:space="preserve"> rompu aux flux intracommunautaires et aux particularités de la TVA sur les biens d'occasion ou métaux précieux.</w:t>
      </w:r>
    </w:p>
    <w:p w14:paraId="19CA0A2E" w14:textId="77777777" w:rsidR="008536DA" w:rsidRPr="008536DA" w:rsidRDefault="008536DA" w:rsidP="008536DA">
      <w:pPr>
        <w:numPr>
          <w:ilvl w:val="0"/>
          <w:numId w:val="10"/>
        </w:numPr>
        <w:rPr>
          <w:lang w:val="fr-FR"/>
        </w:rPr>
      </w:pPr>
    </w:p>
    <w:p w14:paraId="6505F9D2" w14:textId="77777777" w:rsidR="00835DFB" w:rsidRPr="008536DA" w:rsidRDefault="00835DFB">
      <w:pPr>
        <w:rPr>
          <w:lang w:val="fr-FR"/>
        </w:rPr>
      </w:pPr>
    </w:p>
    <w:sectPr w:rsidR="00835DFB" w:rsidRPr="00853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5FA"/>
    <w:multiLevelType w:val="multilevel"/>
    <w:tmpl w:val="EC78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2B28"/>
    <w:multiLevelType w:val="multilevel"/>
    <w:tmpl w:val="C490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C73DA"/>
    <w:multiLevelType w:val="multilevel"/>
    <w:tmpl w:val="A522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04DD4"/>
    <w:multiLevelType w:val="multilevel"/>
    <w:tmpl w:val="22D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2124F"/>
    <w:multiLevelType w:val="multilevel"/>
    <w:tmpl w:val="1C4E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4244B"/>
    <w:multiLevelType w:val="multilevel"/>
    <w:tmpl w:val="2EAC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42DE3"/>
    <w:multiLevelType w:val="multilevel"/>
    <w:tmpl w:val="457C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C2756"/>
    <w:multiLevelType w:val="multilevel"/>
    <w:tmpl w:val="9F80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84A8E"/>
    <w:multiLevelType w:val="multilevel"/>
    <w:tmpl w:val="EDDA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65996"/>
    <w:multiLevelType w:val="multilevel"/>
    <w:tmpl w:val="1B4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622220">
    <w:abstractNumId w:val="8"/>
  </w:num>
  <w:num w:numId="2" w16cid:durableId="720859850">
    <w:abstractNumId w:val="6"/>
  </w:num>
  <w:num w:numId="3" w16cid:durableId="1665939024">
    <w:abstractNumId w:val="0"/>
  </w:num>
  <w:num w:numId="4" w16cid:durableId="189419869">
    <w:abstractNumId w:val="7"/>
  </w:num>
  <w:num w:numId="5" w16cid:durableId="1158693439">
    <w:abstractNumId w:val="3"/>
  </w:num>
  <w:num w:numId="6" w16cid:durableId="1692994107">
    <w:abstractNumId w:val="5"/>
  </w:num>
  <w:num w:numId="7" w16cid:durableId="443233144">
    <w:abstractNumId w:val="2"/>
  </w:num>
  <w:num w:numId="8" w16cid:durableId="1164584540">
    <w:abstractNumId w:val="4"/>
  </w:num>
  <w:num w:numId="9" w16cid:durableId="2120907691">
    <w:abstractNumId w:val="9"/>
  </w:num>
  <w:num w:numId="10" w16cid:durableId="107998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DA"/>
    <w:rsid w:val="001B6B71"/>
    <w:rsid w:val="003C7149"/>
    <w:rsid w:val="003F2BA9"/>
    <w:rsid w:val="00835DFB"/>
    <w:rsid w:val="008536DA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5304"/>
  <w15:chartTrackingRefBased/>
  <w15:docId w15:val="{53C76994-3698-4777-A433-FFC6C84B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3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3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3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3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3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3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3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3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3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3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3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3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3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36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36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36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36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36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3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3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3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36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36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36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3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36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3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2025-04-14T07:21:00Z</cp:lastPrinted>
  <dcterms:created xsi:type="dcterms:W3CDTF">2025-04-14T07:21:00Z</dcterms:created>
  <dcterms:modified xsi:type="dcterms:W3CDTF">2025-04-14T07:23:00Z</dcterms:modified>
</cp:coreProperties>
</file>