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BD67A" w14:textId="579DB956" w:rsidR="0010346B" w:rsidRDefault="008E30F3" w:rsidP="008E30F3">
      <w:pPr>
        <w:jc w:val="center"/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DBF6BA" wp14:editId="5689BBA6">
                <wp:simplePos x="0" y="0"/>
                <wp:positionH relativeFrom="column">
                  <wp:posOffset>-423545</wp:posOffset>
                </wp:positionH>
                <wp:positionV relativeFrom="paragraph">
                  <wp:posOffset>7482205</wp:posOffset>
                </wp:positionV>
                <wp:extent cx="6572250" cy="9810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5F0B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63696849"/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bookmarkEnd w:id="0"/>
                          <w:p w14:paraId="62B115DD" w14:textId="77777777" w:rsidR="008E30F3" w:rsidRPr="00E9289A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EA0BCA4" w14:textId="4E8CB34F" w:rsidR="008E30F3" w:rsidRPr="00BA1EAB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Volnay 1er cru les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Fremiets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is one of the most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delicate and subtle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wine of this appellation. 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It has an i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ntense bouquet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small red fruits (raspberry, strawberry)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spicy notes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Rich,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and deep, it is complex and intense on the palate.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Fabulous with game and cheeses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771B4FF" w14:textId="77777777" w:rsidR="008E30F3" w:rsidRPr="00BA1EAB" w:rsidRDefault="008E30F3" w:rsidP="008E30F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BF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35pt;margin-top:589.15pt;width:517.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">
                <v:textbox>
                  <w:txbxContent>
                    <w:p w14:paraId="7C9E5F0B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bookmarkStart w:id="1" w:name="_Hlk63696849"/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bookmarkEnd w:id="1"/>
                    <w:p w14:paraId="62B115DD" w14:textId="77777777" w:rsidR="008E30F3" w:rsidRPr="00E9289A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3EA0BCA4" w14:textId="4E8CB34F" w:rsidR="008E30F3" w:rsidRPr="00BA1EAB" w:rsidRDefault="008E30F3" w:rsidP="008E30F3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Volnay 1er cru les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Fremiets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is one of the most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delicate and subtle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wine of this appellation. 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It has an i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ntense bouquet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small red fruits (raspberry, strawberry)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spicy notes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Rich,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and deep, it is complex and intense on the palate. 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Fabulous with game and cheeses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771B4FF" w14:textId="77777777" w:rsidR="008E30F3" w:rsidRPr="00BA1EAB" w:rsidRDefault="008E30F3" w:rsidP="008E30F3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E7A188" wp14:editId="085EDCBF">
                <wp:simplePos x="0" y="0"/>
                <wp:positionH relativeFrom="column">
                  <wp:posOffset>-447675</wp:posOffset>
                </wp:positionH>
                <wp:positionV relativeFrom="paragraph">
                  <wp:posOffset>5985510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8028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5A346D93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 and oak barrels.</w:t>
                            </w:r>
                          </w:p>
                          <w:p w14:paraId="285C8196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 the tanks are heated up to 25-30°C for over 10 days.</w:t>
                            </w:r>
                          </w:p>
                          <w:p w14:paraId="7FE42185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primarily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This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 an average of 1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oak).</w:t>
                            </w:r>
                          </w:p>
                          <w:p w14:paraId="6DE6D6D6" w14:textId="77777777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4BCCC2C2" w14:textId="77777777" w:rsidR="008E30F3" w:rsidRPr="00232097" w:rsidRDefault="008E30F3" w:rsidP="008E30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A188" id="_x0000_s1027" type="#_x0000_t202" style="position:absolute;left:0;text-align:left;margin-left:-35.25pt;margin-top:471.3pt;width:522pt;height:10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w6JwIAAEw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">
                <v:textbox>
                  <w:txbxContent>
                    <w:p w14:paraId="568F8028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5A346D93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 and oak barrels.</w:t>
                      </w:r>
                    </w:p>
                    <w:p w14:paraId="285C8196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about 3-5 days to extract flavor and color. During that time, we do some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 the tanks are heated up to 25-30°C for over 10 days.</w:t>
                      </w:r>
                    </w:p>
                    <w:p w14:paraId="7FE42185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primarily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This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 an average of 1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oak).</w:t>
                      </w:r>
                    </w:p>
                    <w:p w14:paraId="6DE6D6D6" w14:textId="77777777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4BCCC2C2" w14:textId="77777777" w:rsidR="008E30F3" w:rsidRPr="00232097" w:rsidRDefault="008E30F3" w:rsidP="008E30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369736" wp14:editId="6129A345">
                <wp:simplePos x="0" y="0"/>
                <wp:positionH relativeFrom="column">
                  <wp:posOffset>-447675</wp:posOffset>
                </wp:positionH>
                <wp:positionV relativeFrom="paragraph">
                  <wp:posOffset>4413885</wp:posOffset>
                </wp:positionV>
                <wp:extent cx="6619875" cy="1466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6DE95" w14:textId="77777777" w:rsidR="008E30F3" w:rsidRPr="00F7470F" w:rsidRDefault="008E30F3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6F05E69F" w14:textId="23D9CF1E" w:rsidR="008E30F3" w:rsidRPr="00966D86" w:rsidRDefault="008E30F3" w:rsidP="008E30F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The soils on the northern part close to Pommard contains alluvial cones brought by the “</w:t>
                            </w:r>
                            <w:proofErr w:type="spellStart"/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Combe</w:t>
                            </w:r>
                            <w:proofErr w:type="spellEnd"/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 de Pommard”, and deep clay-limestone substrate </w:t>
                            </w:r>
                            <w:r w:rsidR="00DA6669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which </w:t>
                            </w:r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brings more elegance to the wines. </w:t>
                            </w:r>
                          </w:p>
                          <w:p w14:paraId="506D6290" w14:textId="77777777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 based on sustainability principles.</w:t>
                            </w:r>
                          </w:p>
                          <w:p w14:paraId="0F6B1172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198901CE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381708F0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66BEB581" w14:textId="77777777" w:rsidR="008E30F3" w:rsidRPr="00195116" w:rsidRDefault="008E30F3" w:rsidP="008E30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9736" id="_x0000_s1028" type="#_x0000_t202" style="position:absolute;left:0;text-align:left;margin-left:-35.25pt;margin-top:347.55pt;width:521.25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">
                <v:textbox>
                  <w:txbxContent>
                    <w:p w14:paraId="5736DE95" w14:textId="77777777" w:rsidR="008E30F3" w:rsidRPr="00F7470F" w:rsidRDefault="008E30F3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6F05E69F" w14:textId="23D9CF1E" w:rsidR="008E30F3" w:rsidRPr="00966D86" w:rsidRDefault="008E30F3" w:rsidP="008E30F3">
                      <w:pP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The soils on the northern part close to Pommard contains alluvial cones brought by the “</w:t>
                      </w:r>
                      <w:proofErr w:type="spellStart"/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Combe</w:t>
                      </w:r>
                      <w:proofErr w:type="spellEnd"/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 de Pommard”, and deep clay-limestone substrate </w:t>
                      </w:r>
                      <w:r w:rsidR="00DA6669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which </w:t>
                      </w:r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brings more elegance to the wines. </w:t>
                      </w:r>
                    </w:p>
                    <w:p w14:paraId="506D6290" w14:textId="77777777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 based on sustainability principles.</w:t>
                      </w:r>
                    </w:p>
                    <w:p w14:paraId="0F6B1172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198901CE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381708F0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66BEB581" w14:textId="77777777" w:rsidR="008E30F3" w:rsidRPr="00195116" w:rsidRDefault="008E30F3" w:rsidP="008E30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32F5C6FF" wp14:editId="19DFFF4D">
            <wp:extent cx="3643271" cy="3495675"/>
            <wp:effectExtent l="0" t="0" r="0" b="0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616" cy="351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8CF41" wp14:editId="3068665E">
                <wp:simplePos x="0" y="0"/>
                <wp:positionH relativeFrom="column">
                  <wp:posOffset>-333375</wp:posOffset>
                </wp:positionH>
                <wp:positionV relativeFrom="paragraph">
                  <wp:posOffset>-1905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3508" w14:textId="77777777" w:rsidR="008E30F3" w:rsidRPr="00157C5D" w:rsidRDefault="008E30F3" w:rsidP="008E30F3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Volnay 1</w:t>
                            </w:r>
                            <w:r w:rsidRPr="004946C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fremiets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8CF41" id="_x0000_s1029" type="#_x0000_t202" style="position:absolute;left:0;text-align:left;margin-left:-26.25pt;margin-top:-.15pt;width:521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">
                <v:textbox>
                  <w:txbxContent>
                    <w:p w14:paraId="33DC3508" w14:textId="77777777" w:rsidR="008E30F3" w:rsidRPr="00157C5D" w:rsidRDefault="008E30F3" w:rsidP="008E30F3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Volnay 1</w:t>
                      </w:r>
                      <w:r w:rsidRPr="004946C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fremiets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30F3"/>
    <w:rsid w:val="007155B9"/>
    <w:rsid w:val="008E30F3"/>
    <w:rsid w:val="00CB5817"/>
    <w:rsid w:val="00D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8F78"/>
  <w15:chartTrackingRefBased/>
  <w15:docId w15:val="{463D3239-3D79-4BBC-833C-11797FF4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dcterms:created xsi:type="dcterms:W3CDTF">2021-02-08T16:12:00Z</dcterms:created>
  <dcterms:modified xsi:type="dcterms:W3CDTF">2021-02-08T16:20:00Z</dcterms:modified>
</cp:coreProperties>
</file>