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D627" w14:textId="448CF535" w:rsidR="00B418B5" w:rsidRPr="00103B1B" w:rsidRDefault="00063E2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 w:rsidRPr="00F0463D">
        <w:rPr>
          <w:rFonts w:ascii="Cambria Math" w:hAnsi="Cambria Math"/>
          <w:b/>
          <w:noProof/>
          <w:color w:val="800000"/>
          <w:sz w:val="56"/>
          <w:szCs w:val="56"/>
          <w:bdr w:val="single" w:sz="4" w:space="0" w:color="auto"/>
        </w:rPr>
        <w:drawing>
          <wp:inline distT="0" distB="0" distL="0" distR="0" wp14:anchorId="6EA7CF3D" wp14:editId="6BA1083E">
            <wp:extent cx="3028950" cy="212047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974" cy="212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0763B6B1" w14:textId="5DB6C08A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77986A6" wp14:editId="34F0FBB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720B7A5" w:rsidR="00CF3A7F" w:rsidRPr="002F4C17" w:rsidRDefault="00063E2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>Caroline PARENT</w:t>
                            </w:r>
                            <w:r w:rsidR="00CF3A7F" w:rsidRPr="002F4C17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>Pommard 1</w:t>
                            </w:r>
                            <w:r w:rsidR="0030452E" w:rsidRP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 Cru Les Chanlins</w:t>
                            </w:r>
                          </w:p>
                          <w:p w14:paraId="3BF2157F" w14:textId="79A2E0CC" w:rsidR="00CF3A7F" w:rsidRPr="002F4C17" w:rsidRDefault="00CF3A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0402F7C6" w14:textId="2720B7A5" w:rsidR="00CF3A7F" w:rsidRPr="002F4C17" w:rsidRDefault="00063E2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>Caroline PARENT</w:t>
                      </w:r>
                      <w:r w:rsidR="00CF3A7F" w:rsidRPr="002F4C17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 </w:t>
                      </w:r>
                      <w:r w:rsid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>Pommard 1</w:t>
                      </w:r>
                      <w:r w:rsidR="0030452E" w:rsidRP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 Cru Les Chanlins</w:t>
                      </w:r>
                    </w:p>
                    <w:p w14:paraId="3BF2157F" w14:textId="79A2E0CC" w:rsidR="00CF3A7F" w:rsidRPr="002F4C17" w:rsidRDefault="00CF3A7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3A58CE30" w:rsidR="001A11AE" w:rsidRPr="006C4B43" w:rsidRDefault="00C92A7B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E449F7" wp14:editId="2C7260EB">
                <wp:simplePos x="0" y="0"/>
                <wp:positionH relativeFrom="column">
                  <wp:posOffset>155574</wp:posOffset>
                </wp:positionH>
                <wp:positionV relativeFrom="paragraph">
                  <wp:posOffset>1004570</wp:posOffset>
                </wp:positionV>
                <wp:extent cx="323850" cy="540544"/>
                <wp:effectExtent l="19050" t="38100" r="38100" b="1206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83782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2AAC78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2.25pt;margin-top:79.1pt;width:25.5pt;height:42.55pt;rotation:-563848fd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" fillcolor="red" strokecolor="black [3213]"/>
            </w:pict>
          </mc:Fallback>
        </mc:AlternateContent>
      </w:r>
      <w:r w:rsidR="000B3CC7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2D01813" wp14:editId="3A9E9277">
                <wp:simplePos x="0" y="0"/>
                <wp:positionH relativeFrom="column">
                  <wp:posOffset>0</wp:posOffset>
                </wp:positionH>
                <wp:positionV relativeFrom="paragraph">
                  <wp:posOffset>5669280</wp:posOffset>
                </wp:positionV>
                <wp:extent cx="661987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2E55" w14:textId="77777777" w:rsidR="00B5441D" w:rsidRDefault="004D3310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298B0564" w14:textId="145D861C" w:rsidR="00CA328C" w:rsidRPr="000B3CC7" w:rsidRDefault="000B3CC7" w:rsidP="000B3CC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eep, dark red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color 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with mauve highlight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s. Aromas o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f blackberry, bilberry, or gooseberry, cherry pit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, black</w:t>
                            </w:r>
                            <w:r w:rsidR="00FB1C21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currants 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and ripe plum.  At full maturity, it tends towards leather, </w:t>
                            </w:r>
                            <w:proofErr w:type="gramStart"/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chocolate</w:t>
                            </w:r>
                            <w:proofErr w:type="gramEnd"/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and pepper.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  <w:t>It needs to be given time to open up to its fullest extent and to display its</w:t>
                            </w:r>
                            <w:r w:rsidR="00FB1C21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rich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texture, its </w:t>
                            </w:r>
                            <w:r w:rsidR="00FB1C21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elegant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structure, its fruit-filled mouth, and its </w:t>
                            </w:r>
                            <w:r w:rsidR="00C92A7B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ripe and smooth 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tannins</w:t>
                            </w:r>
                            <w:r w:rsidR="00C92A7B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FB1C21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0;margin-top:446.4pt;width:521.25pt;height:7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">
                <v:textbox>
                  <w:txbxContent>
                    <w:p w14:paraId="15C72E55" w14:textId="77777777" w:rsidR="00B5441D" w:rsidRDefault="004D3310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298B0564" w14:textId="145D861C" w:rsidR="00CA328C" w:rsidRPr="000B3CC7" w:rsidRDefault="000B3CC7" w:rsidP="000B3CC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eep, dark red 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color 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with mauve highlight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s. Aromas o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f blackberry, bilberry, or gooseberry, cherry pit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, black</w:t>
                      </w:r>
                      <w:r w:rsidR="00FB1C21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currants 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and ripe plum.  At full maturity, it tends towards leather, </w:t>
                      </w:r>
                      <w:proofErr w:type="gramStart"/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chocolate</w:t>
                      </w:r>
                      <w:proofErr w:type="gramEnd"/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and pepper.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br/>
                        <w:t>It needs to be given time to open up to its fullest extent and to display its</w:t>
                      </w:r>
                      <w:r w:rsidR="00FB1C21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rich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texture, its </w:t>
                      </w:r>
                      <w:r w:rsidR="00FB1C21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elegant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structure, its fruit-filled mouth, and its </w:t>
                      </w:r>
                      <w:r w:rsidR="00C92A7B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ripe and smooth 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tannins</w:t>
                      </w:r>
                      <w:r w:rsidR="00C92A7B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FB1C21"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CEF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298252" wp14:editId="11F19EA1">
                <wp:simplePos x="0" y="0"/>
                <wp:positionH relativeFrom="column">
                  <wp:posOffset>4000500</wp:posOffset>
                </wp:positionH>
                <wp:positionV relativeFrom="paragraph">
                  <wp:posOffset>859155</wp:posOffset>
                </wp:positionV>
                <wp:extent cx="2619375" cy="28575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113D1F" w:rsidRDefault="00AF1D35" w:rsidP="00113D1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113D1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113D1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353DA4" w14:textId="1363AEF6" w:rsidR="00D61526" w:rsidRPr="00D61526" w:rsidRDefault="00D61526" w:rsidP="00113D1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152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“Les Chanlins”, a premier cru bordering Volnay, is a continuation of Volnay </w:t>
                            </w:r>
                            <w:proofErr w:type="spellStart"/>
                            <w:r w:rsidRPr="00D6152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Pitures</w:t>
                            </w:r>
                            <w:proofErr w:type="spellEnd"/>
                            <w:r w:rsidRPr="00D6152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(formerly known as Volnay Chanlins), the vineyard is steep with more limestone and pebbles rather than clay, producing classic wines which are typically generous and long lived.</w:t>
                            </w:r>
                          </w:p>
                          <w:p w14:paraId="7DE2D4A0" w14:textId="77777777" w:rsidR="00113D1F" w:rsidRPr="00113D1F" w:rsidRDefault="00113D1F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B886568" w14:textId="723BDEE4" w:rsidR="00087DC6" w:rsidRPr="00113D1F" w:rsidRDefault="00FB1B1C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320948B0" w14:textId="2BD2E3D9" w:rsidR="008431B4" w:rsidRPr="00113D1F" w:rsidRDefault="00D3653A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12A40B27" w:rsidR="00D3653A" w:rsidRPr="00113D1F" w:rsidRDefault="00D3653A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1624A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optimal freshness.</w:t>
                            </w:r>
                          </w:p>
                          <w:p w14:paraId="70CC6C79" w14:textId="77777777" w:rsidR="00087DC6" w:rsidRPr="00113D1F" w:rsidRDefault="00087DC6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13D1F" w:rsidRDefault="008A7146" w:rsidP="00113D1F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15pt;margin-top:67.65pt;width:206.25pt;height:2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">
                <v:textbox>
                  <w:txbxContent>
                    <w:p w14:paraId="2F746F93" w14:textId="698C734B" w:rsidR="00AF1D35" w:rsidRPr="00113D1F" w:rsidRDefault="00AF1D35" w:rsidP="00113D1F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113D1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113D1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353DA4" w14:textId="1363AEF6" w:rsidR="00D61526" w:rsidRPr="00D61526" w:rsidRDefault="00D61526" w:rsidP="00113D1F">
                      <w:pPr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Times New Roman"/>
                          <w:sz w:val="18"/>
                          <w:szCs w:val="18"/>
                          <w:lang w:val="en-US"/>
                        </w:rPr>
                      </w:pPr>
                      <w:r w:rsidRPr="00D6152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“Les Chanlins”, a premier cru bordering Volnay, is a continuation of Volnay </w:t>
                      </w:r>
                      <w:proofErr w:type="spellStart"/>
                      <w:r w:rsidRPr="00D6152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Pitures</w:t>
                      </w:r>
                      <w:proofErr w:type="spellEnd"/>
                      <w:r w:rsidRPr="00D6152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(formerly known as Volnay Chanlins), the vineyard is steep with more limestone and pebbles rather than clay, producing classic wines which are typically generous and long lived.</w:t>
                      </w:r>
                    </w:p>
                    <w:p w14:paraId="7DE2D4A0" w14:textId="77777777" w:rsidR="00113D1F" w:rsidRPr="00113D1F" w:rsidRDefault="00113D1F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6B886568" w14:textId="723BDEE4" w:rsidR="00087DC6" w:rsidRPr="00113D1F" w:rsidRDefault="00FB1B1C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320948B0" w14:textId="2BD2E3D9" w:rsidR="008431B4" w:rsidRPr="00113D1F" w:rsidRDefault="00D3653A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12A40B27" w:rsidR="00D3653A" w:rsidRPr="00113D1F" w:rsidRDefault="00D3653A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1624A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optimal freshness.</w:t>
                      </w:r>
                    </w:p>
                    <w:p w14:paraId="70CC6C79" w14:textId="77777777" w:rsidR="00087DC6" w:rsidRPr="00113D1F" w:rsidRDefault="00087DC6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13D1F" w:rsidRDefault="008A7146" w:rsidP="00113D1F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CEF">
        <w:rPr>
          <w:noProof/>
          <w:lang w:val="en-US"/>
        </w:rPr>
        <w:drawing>
          <wp:inline distT="0" distB="0" distL="0" distR="0" wp14:anchorId="3524AD92" wp14:editId="27192987">
            <wp:extent cx="3476625" cy="29946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88374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586" cy="300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3093733" wp14:editId="106CBD79">
                <wp:simplePos x="0" y="0"/>
                <wp:positionH relativeFrom="column">
                  <wp:posOffset>-3175</wp:posOffset>
                </wp:positionH>
                <wp:positionV relativeFrom="paragraph">
                  <wp:posOffset>3844925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774B8A90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2193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-.25pt;margin-top:302.75pt;width:522pt;height:108.2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774B8A90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2193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4AD2"/>
    <w:rsid w:val="00026F36"/>
    <w:rsid w:val="000303E1"/>
    <w:rsid w:val="00043815"/>
    <w:rsid w:val="000462D0"/>
    <w:rsid w:val="00051B37"/>
    <w:rsid w:val="00053D5A"/>
    <w:rsid w:val="000546E1"/>
    <w:rsid w:val="000558AD"/>
    <w:rsid w:val="0006013F"/>
    <w:rsid w:val="00060701"/>
    <w:rsid w:val="00063842"/>
    <w:rsid w:val="00063E2F"/>
    <w:rsid w:val="0007403C"/>
    <w:rsid w:val="000740C1"/>
    <w:rsid w:val="00082241"/>
    <w:rsid w:val="00085BAA"/>
    <w:rsid w:val="00087DC6"/>
    <w:rsid w:val="000901D2"/>
    <w:rsid w:val="00092046"/>
    <w:rsid w:val="00096447"/>
    <w:rsid w:val="000A24AD"/>
    <w:rsid w:val="000B3CC7"/>
    <w:rsid w:val="000B4ED1"/>
    <w:rsid w:val="000C3B95"/>
    <w:rsid w:val="000C703D"/>
    <w:rsid w:val="000E3F10"/>
    <w:rsid w:val="000E6370"/>
    <w:rsid w:val="000F3DB5"/>
    <w:rsid w:val="000F6251"/>
    <w:rsid w:val="0010292B"/>
    <w:rsid w:val="00102B6B"/>
    <w:rsid w:val="00103B1B"/>
    <w:rsid w:val="00106409"/>
    <w:rsid w:val="00106D29"/>
    <w:rsid w:val="00113D1F"/>
    <w:rsid w:val="00121ABF"/>
    <w:rsid w:val="00131A89"/>
    <w:rsid w:val="001355DB"/>
    <w:rsid w:val="0013628E"/>
    <w:rsid w:val="00146C67"/>
    <w:rsid w:val="00153695"/>
    <w:rsid w:val="0015670B"/>
    <w:rsid w:val="00157C5D"/>
    <w:rsid w:val="001624AD"/>
    <w:rsid w:val="00176B32"/>
    <w:rsid w:val="0019185E"/>
    <w:rsid w:val="00195116"/>
    <w:rsid w:val="001A11AE"/>
    <w:rsid w:val="001A55F4"/>
    <w:rsid w:val="001B5659"/>
    <w:rsid w:val="001E56C7"/>
    <w:rsid w:val="001F7A43"/>
    <w:rsid w:val="00202E16"/>
    <w:rsid w:val="002123A4"/>
    <w:rsid w:val="00232097"/>
    <w:rsid w:val="00234048"/>
    <w:rsid w:val="002346A1"/>
    <w:rsid w:val="00237479"/>
    <w:rsid w:val="00245125"/>
    <w:rsid w:val="00245418"/>
    <w:rsid w:val="0025593C"/>
    <w:rsid w:val="002566EC"/>
    <w:rsid w:val="002742BC"/>
    <w:rsid w:val="002B10F2"/>
    <w:rsid w:val="002C0019"/>
    <w:rsid w:val="002D303D"/>
    <w:rsid w:val="002F3E93"/>
    <w:rsid w:val="002F4C17"/>
    <w:rsid w:val="00301A48"/>
    <w:rsid w:val="00301F3D"/>
    <w:rsid w:val="0030452E"/>
    <w:rsid w:val="00307479"/>
    <w:rsid w:val="00311457"/>
    <w:rsid w:val="00312432"/>
    <w:rsid w:val="003137B5"/>
    <w:rsid w:val="0031470D"/>
    <w:rsid w:val="00315D34"/>
    <w:rsid w:val="003169CC"/>
    <w:rsid w:val="003328FF"/>
    <w:rsid w:val="00345678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5B5B"/>
    <w:rsid w:val="0044763F"/>
    <w:rsid w:val="00457A03"/>
    <w:rsid w:val="00457DCB"/>
    <w:rsid w:val="00465D89"/>
    <w:rsid w:val="004763CC"/>
    <w:rsid w:val="004836B1"/>
    <w:rsid w:val="00496065"/>
    <w:rsid w:val="004A444B"/>
    <w:rsid w:val="004A740D"/>
    <w:rsid w:val="004B186C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1933"/>
    <w:rsid w:val="00522470"/>
    <w:rsid w:val="005356AE"/>
    <w:rsid w:val="00536F42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D6193"/>
    <w:rsid w:val="005E14D8"/>
    <w:rsid w:val="00604756"/>
    <w:rsid w:val="00605758"/>
    <w:rsid w:val="006160E2"/>
    <w:rsid w:val="0063759B"/>
    <w:rsid w:val="00644042"/>
    <w:rsid w:val="00652825"/>
    <w:rsid w:val="006653EB"/>
    <w:rsid w:val="006668A2"/>
    <w:rsid w:val="006718FF"/>
    <w:rsid w:val="00676D73"/>
    <w:rsid w:val="006A4169"/>
    <w:rsid w:val="006A793B"/>
    <w:rsid w:val="006B5BB6"/>
    <w:rsid w:val="006B71BE"/>
    <w:rsid w:val="006C25F3"/>
    <w:rsid w:val="006C4B43"/>
    <w:rsid w:val="006F0CEF"/>
    <w:rsid w:val="006F4173"/>
    <w:rsid w:val="006F4330"/>
    <w:rsid w:val="006F60C0"/>
    <w:rsid w:val="0070320B"/>
    <w:rsid w:val="00711A52"/>
    <w:rsid w:val="0071342B"/>
    <w:rsid w:val="00715120"/>
    <w:rsid w:val="007274EE"/>
    <w:rsid w:val="00734169"/>
    <w:rsid w:val="00736AE6"/>
    <w:rsid w:val="007505E4"/>
    <w:rsid w:val="0075792B"/>
    <w:rsid w:val="0078199A"/>
    <w:rsid w:val="007842A4"/>
    <w:rsid w:val="00785699"/>
    <w:rsid w:val="007874B6"/>
    <w:rsid w:val="0079273F"/>
    <w:rsid w:val="007A035C"/>
    <w:rsid w:val="007A0B15"/>
    <w:rsid w:val="007A79C6"/>
    <w:rsid w:val="007B2548"/>
    <w:rsid w:val="007C50E4"/>
    <w:rsid w:val="007C7691"/>
    <w:rsid w:val="00804B1F"/>
    <w:rsid w:val="00813D3E"/>
    <w:rsid w:val="00834000"/>
    <w:rsid w:val="00840B02"/>
    <w:rsid w:val="008431B4"/>
    <w:rsid w:val="008456EF"/>
    <w:rsid w:val="008A534C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D358C"/>
    <w:rsid w:val="009E1339"/>
    <w:rsid w:val="009E423C"/>
    <w:rsid w:val="009E6381"/>
    <w:rsid w:val="00A0406C"/>
    <w:rsid w:val="00A049BE"/>
    <w:rsid w:val="00A11B67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C12CB"/>
    <w:rsid w:val="00AD4BC2"/>
    <w:rsid w:val="00AD6AA3"/>
    <w:rsid w:val="00AD6B88"/>
    <w:rsid w:val="00AF1D35"/>
    <w:rsid w:val="00AF3FDE"/>
    <w:rsid w:val="00AF43C2"/>
    <w:rsid w:val="00B03758"/>
    <w:rsid w:val="00B05983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4957"/>
    <w:rsid w:val="00C27DD5"/>
    <w:rsid w:val="00C55FDC"/>
    <w:rsid w:val="00C92A7B"/>
    <w:rsid w:val="00CA03D9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0CC4"/>
    <w:rsid w:val="00D47867"/>
    <w:rsid w:val="00D61526"/>
    <w:rsid w:val="00D86CCA"/>
    <w:rsid w:val="00D91630"/>
    <w:rsid w:val="00DA1074"/>
    <w:rsid w:val="00DB01B6"/>
    <w:rsid w:val="00DC44EE"/>
    <w:rsid w:val="00DC5D22"/>
    <w:rsid w:val="00DC64AD"/>
    <w:rsid w:val="00DD345A"/>
    <w:rsid w:val="00DD4CF3"/>
    <w:rsid w:val="00DE521A"/>
    <w:rsid w:val="00DE6D84"/>
    <w:rsid w:val="00DF0D0C"/>
    <w:rsid w:val="00E011EC"/>
    <w:rsid w:val="00E12F9F"/>
    <w:rsid w:val="00E312F6"/>
    <w:rsid w:val="00E342EA"/>
    <w:rsid w:val="00E557C7"/>
    <w:rsid w:val="00E658B4"/>
    <w:rsid w:val="00E66AFD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4F38"/>
    <w:rsid w:val="00EB6772"/>
    <w:rsid w:val="00ED4B3E"/>
    <w:rsid w:val="00EE2083"/>
    <w:rsid w:val="00F0463D"/>
    <w:rsid w:val="00F12C73"/>
    <w:rsid w:val="00F12D83"/>
    <w:rsid w:val="00F137D1"/>
    <w:rsid w:val="00F33282"/>
    <w:rsid w:val="00F44DFB"/>
    <w:rsid w:val="00F7470F"/>
    <w:rsid w:val="00F75BE5"/>
    <w:rsid w:val="00F93FBA"/>
    <w:rsid w:val="00F95ECB"/>
    <w:rsid w:val="00FA54FF"/>
    <w:rsid w:val="00FB1B1C"/>
    <w:rsid w:val="00FB1C21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D91F-EFC6-4CF4-974F-D2689D1E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caroline21630@outlook.fr</cp:lastModifiedBy>
  <cp:revision>4</cp:revision>
  <cp:lastPrinted>2019-02-12T23:04:00Z</cp:lastPrinted>
  <dcterms:created xsi:type="dcterms:W3CDTF">2021-02-08T15:33:00Z</dcterms:created>
  <dcterms:modified xsi:type="dcterms:W3CDTF">2021-02-08T15:40:00Z</dcterms:modified>
</cp:coreProperties>
</file>