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2B690156" w:rsidR="009862E6" w:rsidRDefault="003336C1" w:rsidP="009862E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  <w:lang w:eastAsia="fr-FR"/>
        </w:rPr>
        <w:drawing>
          <wp:inline distT="0" distB="0" distL="0" distR="0" wp14:anchorId="0EFE4F77" wp14:editId="1C42505C">
            <wp:extent cx="3717535" cy="2482850"/>
            <wp:effectExtent l="0" t="0" r="0" b="0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9752" cy="249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B6B1" w14:textId="20743A97" w:rsidR="0025593C" w:rsidRPr="009862E6" w:rsidRDefault="00B772ED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77986A6" wp14:editId="51B9E217">
                <wp:simplePos x="0" y="0"/>
                <wp:positionH relativeFrom="column">
                  <wp:posOffset>132715</wp:posOffset>
                </wp:positionH>
                <wp:positionV relativeFrom="paragraph">
                  <wp:posOffset>140335</wp:posOffset>
                </wp:positionV>
                <wp:extent cx="6645275" cy="45720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59B84427" w:rsidR="00CF3A7F" w:rsidRPr="00157C5D" w:rsidRDefault="00E34007" w:rsidP="003336C1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336C1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Nuits St Georges 1</w:t>
                            </w:r>
                            <w:r w:rsidR="003336C1" w:rsidRPr="003336C1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336C1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Saint Georges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45pt;margin-top:11.05pt;width:523.25pt;height:3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">
                <v:textbox>
                  <w:txbxContent>
                    <w:p w14:paraId="3BF2157F" w14:textId="59B84427" w:rsidR="00CF3A7F" w:rsidRPr="00157C5D" w:rsidRDefault="00E34007" w:rsidP="003336C1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3336C1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Nuits St Georges 1</w:t>
                      </w:r>
                      <w:r w:rsidR="003336C1" w:rsidRPr="003336C1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336C1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Saint Georges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43494" w14:textId="52429FE9" w:rsidR="001E76B4" w:rsidRDefault="001E76B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3D274CDD" w14:textId="60FD89F4" w:rsidR="001E76B4" w:rsidRDefault="00B772ED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298252" wp14:editId="171B2A47">
                <wp:simplePos x="0" y="0"/>
                <wp:positionH relativeFrom="margin">
                  <wp:posOffset>3917950</wp:posOffset>
                </wp:positionH>
                <wp:positionV relativeFrom="paragraph">
                  <wp:posOffset>8890</wp:posOffset>
                </wp:positionV>
                <wp:extent cx="2714625" cy="285115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3E065D74" w:rsidR="004234D6" w:rsidRDefault="004234D6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153BF7CC" w14:textId="77777777" w:rsidR="001E76B4" w:rsidRDefault="001E76B4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0E0E5D7" w14:textId="77777777" w:rsidR="001E76B4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No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 raisins proviennent d’un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contrat récurrent depuis 2018 situé dans le climat 1</w:t>
                            </w:r>
                            <w:r w:rsidR="003336C1" w:rsidRP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  <w:vertAlign w:val="superscript"/>
                              </w:rPr>
                              <w:t>er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cru des Saint Georges, un des plus réputés de l’appellation, situé en milieu de coteaux, sur un sol argileux. </w:t>
                            </w:r>
                          </w:p>
                          <w:p w14:paraId="331F289B" w14:textId="77777777" w:rsidR="001E76B4" w:rsidRDefault="001E76B4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F55BC5C" w14:textId="77777777" w:rsidR="001E76B4" w:rsidRDefault="00F959CB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</w:p>
                          <w:p w14:paraId="0410728C" w14:textId="6B491FCC" w:rsidR="006D3792" w:rsidRPr="006D3792" w:rsidRDefault="00962DA3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C978153" w14:textId="77777777" w:rsidR="001E76B4" w:rsidRDefault="006D3792" w:rsidP="006D3792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</w:t>
                            </w:r>
                          </w:p>
                          <w:p w14:paraId="5C9B72CB" w14:textId="4D6591CF" w:rsidR="008A7146" w:rsidRPr="001E76B4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Les raisins, une fois coupés, sont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0 minutes. 100% récolte manuelle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08.5pt;margin-top:.7pt;width:213.75pt;height:22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">
                <v:textbox>
                  <w:txbxContent>
                    <w:p w14:paraId="7D246C99" w14:textId="3E065D74" w:rsidR="004234D6" w:rsidRDefault="004234D6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153BF7CC" w14:textId="77777777" w:rsidR="001E76B4" w:rsidRDefault="001E76B4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0E0E5D7" w14:textId="77777777" w:rsidR="001E76B4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No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 raisins proviennent d’un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contrat récurrent depuis 2018 situé dans le climat 1</w:t>
                      </w:r>
                      <w:r w:rsidR="003336C1" w:rsidRP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  <w:vertAlign w:val="superscript"/>
                        </w:rPr>
                        <w:t>er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cru des Saint Georges, un des plus réputés de l’appellation, situé en milieu de coteaux, sur un sol argileux. </w:t>
                      </w:r>
                    </w:p>
                    <w:p w14:paraId="331F289B" w14:textId="77777777" w:rsidR="001E76B4" w:rsidRDefault="001E76B4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F55BC5C" w14:textId="77777777" w:rsidR="001E76B4" w:rsidRDefault="00F959CB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</w:p>
                    <w:p w14:paraId="0410728C" w14:textId="6B491FCC" w:rsidR="006D3792" w:rsidRPr="006D3792" w:rsidRDefault="00962DA3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4C978153" w14:textId="77777777" w:rsidR="001E76B4" w:rsidRDefault="006D3792" w:rsidP="006D3792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</w:t>
                      </w:r>
                    </w:p>
                    <w:p w14:paraId="5C9B72CB" w14:textId="4D6591CF" w:rsidR="008A7146" w:rsidRPr="001E76B4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Les raisins, une fois coupés, sont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0 minutes. 100% récolte manuelle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7D4222A1" wp14:editId="7CAFA9FA">
            <wp:extent cx="3841317" cy="2850515"/>
            <wp:effectExtent l="0" t="0" r="6985" b="6985"/>
            <wp:docPr id="6" name="Image 6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378" cy="285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9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A655C" wp14:editId="2309FD19">
                <wp:simplePos x="0" y="0"/>
                <wp:positionH relativeFrom="column">
                  <wp:posOffset>466090</wp:posOffset>
                </wp:positionH>
                <wp:positionV relativeFrom="paragraph">
                  <wp:posOffset>2146300</wp:posOffset>
                </wp:positionV>
                <wp:extent cx="283745" cy="414509"/>
                <wp:effectExtent l="38100" t="19050" r="21590" b="2413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60588">
                          <a:off x="0" y="0"/>
                          <a:ext cx="283745" cy="414509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7BE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36.7pt;margin-top:169pt;width:22.35pt;height:32.65pt;rotation:11207298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" adj="15430" fillcolor="red" strokecolor="windowText"/>
            </w:pict>
          </mc:Fallback>
        </mc:AlternateContent>
      </w:r>
    </w:p>
    <w:p w14:paraId="6F3E07E5" w14:textId="3DE5538D" w:rsidR="001A11AE" w:rsidRPr="006C4B43" w:rsidRDefault="00B772ED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D01813" wp14:editId="3E5A33D8">
                <wp:simplePos x="0" y="0"/>
                <wp:positionH relativeFrom="margin">
                  <wp:posOffset>6350</wp:posOffset>
                </wp:positionH>
                <wp:positionV relativeFrom="paragraph">
                  <wp:posOffset>2433320</wp:posOffset>
                </wp:positionV>
                <wp:extent cx="6610350" cy="1270000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294076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940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294076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DB2BD80" w14:textId="21C3122E" w:rsidR="00CA328C" w:rsidRDefault="003336C1" w:rsidP="00B772E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294076"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ntense, concentré, parfois austè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 dan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 sa jeunesse, le vin issu d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 Cru des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aint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Georges est un vin à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part qui dé</w:t>
                            </w:r>
                            <w:r w:rsidRP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veloppe une puissance unique en vieillissant</w:t>
                            </w:r>
                            <w:r w:rsidR="00294076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220174" w14:textId="10455173" w:rsidR="00A169BB" w:rsidRPr="00294076" w:rsidRDefault="00A169BB" w:rsidP="00B772ED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586CD5" w:rsidRP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Cru les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Saint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Georges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son caractère bien trempé s’accordera naturellement avec des pièces 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viande bien gouteuses et viriles telles que la côte de bœuf, le magret de canard ou </w:t>
                            </w:r>
                            <w:r w:rsidR="00586CD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encore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l’agneau rôti.</w:t>
                            </w:r>
                          </w:p>
                          <w:p w14:paraId="12642886" w14:textId="5826041E" w:rsidR="00CA328C" w:rsidRPr="00294076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.5pt;margin-top:191.6pt;width:520.5pt;height:10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">
                <v:textbox>
                  <w:txbxContent>
                    <w:p w14:paraId="1E5477F7" w14:textId="13E5E6CC" w:rsidR="00CA328C" w:rsidRPr="00294076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940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294076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0DB2BD80" w14:textId="21C3122E" w:rsidR="00CA328C" w:rsidRDefault="003336C1" w:rsidP="00B772E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294076"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ntense, concentré, parfois austè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 dan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 sa jeunesse, le vin issu d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u Cru des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aint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Georges est un vin à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part qui dé</w:t>
                      </w:r>
                      <w:r w:rsidRP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veloppe une puissance unique en vieillissant</w:t>
                      </w:r>
                      <w:r w:rsidR="00294076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8220174" w14:textId="10455173" w:rsidR="00A169BB" w:rsidRPr="00294076" w:rsidRDefault="00A169BB" w:rsidP="00B772ED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Le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1</w:t>
                      </w:r>
                      <w:r w:rsidR="00586CD5" w:rsidRP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Cru les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Saint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Georges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part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son caractère bien trempé s’accordera naturellement avec des pièces 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viande bien gouteuses et viriles telles que la côte de bœuf, le magret de canard ou </w:t>
                      </w:r>
                      <w:r w:rsidR="00586CD5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encore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l’agneau rôti.</w:t>
                      </w:r>
                    </w:p>
                    <w:p w14:paraId="12642886" w14:textId="5826041E" w:rsidR="00CA328C" w:rsidRPr="00294076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093733" wp14:editId="33FBA6DD">
                <wp:simplePos x="0" y="0"/>
                <wp:positionH relativeFrom="margin">
                  <wp:posOffset>6985</wp:posOffset>
                </wp:positionH>
                <wp:positionV relativeFrom="paragraph">
                  <wp:posOffset>292100</wp:posOffset>
                </wp:positionV>
                <wp:extent cx="6629400" cy="1866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77777777" w:rsidR="00E15B62" w:rsidRPr="00294076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94076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FDEE4EB" w14:textId="083DD3B4" w:rsidR="00E15B62" w:rsidRPr="00575315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077A252F" w:rsidR="00CA328C" w:rsidRPr="00E15B62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Le bois pour les fûts de chêne provient principalement des forêts du Ch</w:t>
                            </w:r>
                            <w:r w:rsidR="00A169B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â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tillonais et de Fontainebleau. Les deux tiers de ce vin sont vieillis en moyenne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50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  <w:r w:rsidR="003336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. Production de 590 bouteilles par an en moyenne.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.55pt;margin-top:23pt;width:522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">
                <v:textbox>
                  <w:txbxContent>
                    <w:p w14:paraId="5776EBB8" w14:textId="77777777" w:rsidR="00E15B62" w:rsidRPr="00294076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94076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FDEE4EB" w14:textId="083DD3B4" w:rsidR="00E15B62" w:rsidRPr="00575315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077A252F" w:rsidR="00CA328C" w:rsidRPr="00E15B62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Le bois pour les fûts de chêne provient principalement des forêts du Ch</w:t>
                      </w:r>
                      <w:r w:rsidR="00A169BB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â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tillonais et de Fontainebleau. Les deux tiers de ce vin sont vieillis en moyenne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50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  <w:r w:rsidR="003336C1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. Production de 590 bouteilles par an en moyenne.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1E76B4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E76B4"/>
    <w:rsid w:val="001F7A43"/>
    <w:rsid w:val="002123A4"/>
    <w:rsid w:val="00232097"/>
    <w:rsid w:val="002346A1"/>
    <w:rsid w:val="00245125"/>
    <w:rsid w:val="00245418"/>
    <w:rsid w:val="0025593C"/>
    <w:rsid w:val="00294076"/>
    <w:rsid w:val="002B10F2"/>
    <w:rsid w:val="002D303D"/>
    <w:rsid w:val="002F3E93"/>
    <w:rsid w:val="00301A48"/>
    <w:rsid w:val="00301F3D"/>
    <w:rsid w:val="003169CC"/>
    <w:rsid w:val="003336C1"/>
    <w:rsid w:val="00366E6E"/>
    <w:rsid w:val="00370DD7"/>
    <w:rsid w:val="003771C9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25BF"/>
    <w:rsid w:val="005845A7"/>
    <w:rsid w:val="00584D2F"/>
    <w:rsid w:val="00586CD5"/>
    <w:rsid w:val="005926EB"/>
    <w:rsid w:val="005A0E55"/>
    <w:rsid w:val="005A213D"/>
    <w:rsid w:val="005B22FA"/>
    <w:rsid w:val="005D0074"/>
    <w:rsid w:val="005D022E"/>
    <w:rsid w:val="005D34A1"/>
    <w:rsid w:val="005D43B8"/>
    <w:rsid w:val="005E14D8"/>
    <w:rsid w:val="00604756"/>
    <w:rsid w:val="00605758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169BB"/>
    <w:rsid w:val="00A25198"/>
    <w:rsid w:val="00A57F8E"/>
    <w:rsid w:val="00A662BD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772ED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3ED2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552AE5E-D0C8-47C8-BCA9-7E9E6CAB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E62D-3845-42C0-9E8A-836C12F9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8</cp:revision>
  <cp:lastPrinted>2019-02-12T23:04:00Z</cp:lastPrinted>
  <dcterms:created xsi:type="dcterms:W3CDTF">2020-11-03T15:35:00Z</dcterms:created>
  <dcterms:modified xsi:type="dcterms:W3CDTF">2022-01-21T08:45:00Z</dcterms:modified>
</cp:coreProperties>
</file>