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8" w:rsidRPr="009672B4" w:rsidRDefault="009672B4" w:rsidP="009672B4">
      <w:pPr>
        <w:pStyle w:val="Sansinterligne"/>
        <w:jc w:val="center"/>
        <w:rPr>
          <w:rFonts w:ascii="Century Gothic" w:hAnsi="Century Gothic"/>
        </w:rPr>
      </w:pPr>
      <w:r w:rsidRPr="009672B4"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1B3674" w:rsidRDefault="001B3674" w:rsidP="006F54F7">
      <w:pPr>
        <w:pStyle w:val="Sansinterligne"/>
        <w:rPr>
          <w:rFonts w:ascii="Century Gothic" w:hAnsi="Century Gothic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9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Maizières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17+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bookmarkStart w:id="0" w:name="_GoBack"/>
      <w:bookmarkEnd w:id="0"/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 xml:space="preserve">Lovely mineral qualities, light and gentle but really shows the qualities of the appellation. Something of a scorched earth note.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Very distinctive.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 xml:space="preserve"> 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>2015-2025</w:t>
      </w:r>
    </w:p>
    <w:p w:rsidR="005C733D" w:rsidRPr="00DC5312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5C733D" w:rsidRDefault="005C733D" w:rsidP="005C733D">
      <w:pPr>
        <w:spacing w:line="280" w:lineRule="atLeast"/>
        <w:rPr>
          <w:rStyle w:val="Lienhypertexte"/>
          <w:rFonts w:ascii="Century Gothic" w:hAnsi="Century Gothic"/>
          <w:b/>
          <w:sz w:val="19"/>
          <w:szCs w:val="19"/>
        </w:rPr>
      </w:pPr>
      <w:hyperlink r:id="rId10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</w:p>
    <w:p w:rsidR="005C733D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17+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 xml:space="preserve">Ripe but not indulgent red fruit, lip-smacking tannins and finely judged acid.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Really long and memorable.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Noble and elegant, but as with their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Echezeaux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, this vintage doesn’t quite express the full potential.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 xml:space="preserve"> 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>2016-2036</w:t>
      </w:r>
    </w:p>
    <w:p w:rsidR="007F3629" w:rsidRPr="00DC5312" w:rsidRDefault="007F3629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1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Réas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Pr="00DC5312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Not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so evocative as their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Maizières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 bottling, but still captures the gracefulness and poise of the appellation.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Savoury and rather tannic on the finish.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 xml:space="preserve"> 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>2016-2026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2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Pézerolles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2011 Beaune</w:t>
        </w:r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Pr="00DC5312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 xml:space="preserve">Dry, quite firm – very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Pommard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, then! It is gratifying when appellations are true to type. For me, it’s not as enticing as the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Vosne-Romanées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, but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that's is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personal bias.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 xml:space="preserve"> 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>2015-2025</w:t>
      </w:r>
    </w:p>
    <w:p w:rsidR="005C733D" w:rsidRPr="00DC5312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3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Échezeaux</w:t>
        </w:r>
        <w:proofErr w:type="spellEnd"/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proofErr w:type="gramStart"/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>Plenty of luscious oak scent, and velvety red fruit in support.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Spicy and rich and with just the right tannic complement.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Doesn’t soar as high as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Échezeaux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 can, but does have lovely fragrance, and the oak is really attractive.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 xml:space="preserve"> </w:t>
      </w:r>
      <w:r w:rsidR="005C733D" w:rsidRPr="00003E81">
        <w:rPr>
          <w:rFonts w:ascii="Century Gothic" w:hAnsi="Century Gothic"/>
          <w:sz w:val="19"/>
          <w:szCs w:val="19"/>
          <w:lang w:val="fr-FR"/>
        </w:rPr>
        <w:t>2014-2026</w:t>
      </w:r>
    </w:p>
    <w:p w:rsidR="007F3629" w:rsidRPr="00DC5312" w:rsidRDefault="007F3629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4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Clos des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Guettes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Savigny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-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lès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-Beaune</w:t>
        </w:r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Pr="00DC5312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16.5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 xml:space="preserve">Earthy, open, satisfying nose – seems very advanced in development.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Soft, furry tannins – very approachable.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For the impatient! (RH) </w:t>
      </w:r>
      <w:r w:rsidR="005C733D" w:rsidRPr="005C733D">
        <w:rPr>
          <w:rFonts w:ascii="Century Gothic" w:hAnsi="Century Gothic"/>
          <w:sz w:val="19"/>
          <w:szCs w:val="19"/>
        </w:rPr>
        <w:br/>
      </w:r>
      <w:r w:rsidR="005C733D" w:rsidRPr="00003E81">
        <w:rPr>
          <w:rFonts w:ascii="Century Gothic" w:hAnsi="Century Gothic"/>
          <w:sz w:val="19"/>
          <w:szCs w:val="19"/>
          <w:lang w:val="fr-FR"/>
        </w:rPr>
        <w:t>Drink 2013-2020</w:t>
      </w: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7F3629" w:rsidRDefault="007F3629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CB4E3E" w:rsidRDefault="00CB4E3E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CB4E3E" w:rsidRDefault="00CB4E3E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7F3629" w:rsidRPr="00DC5312" w:rsidRDefault="007F3629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5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Boucherottes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2011 Beaune</w:t>
        </w:r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Pr="005C733D" w:rsidRDefault="00003E81" w:rsidP="005C733D">
      <w:pPr>
        <w:spacing w:line="280" w:lineRule="atLeast"/>
        <w:rPr>
          <w:rFonts w:ascii="Century Gothic" w:hAnsi="Century Gothic"/>
          <w:sz w:val="19"/>
          <w:szCs w:val="19"/>
        </w:rPr>
      </w:pPr>
      <w:proofErr w:type="gramStart"/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6.5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>Delicate, lifted floral notes.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Tannin bites back on the finish, but the </w:t>
      </w:r>
      <w:proofErr w:type="spellStart"/>
      <w:r w:rsidR="005C733D" w:rsidRPr="005C733D">
        <w:rPr>
          <w:rFonts w:ascii="Century Gothic" w:hAnsi="Century Gothic"/>
          <w:sz w:val="19"/>
          <w:szCs w:val="19"/>
        </w:rPr>
        <w:t>mouthwatering</w:t>
      </w:r>
      <w:proofErr w:type="spellEnd"/>
      <w:r w:rsidR="005C733D" w:rsidRPr="005C733D">
        <w:rPr>
          <w:rFonts w:ascii="Century Gothic" w:hAnsi="Century Gothic"/>
          <w:sz w:val="19"/>
          <w:szCs w:val="19"/>
        </w:rPr>
        <w:t xml:space="preserve"> acid works well with it. </w:t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Tight structure but generously fruity in a savoury mode.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(RH)</w:t>
      </w:r>
    </w:p>
    <w:p w:rsidR="005C733D" w:rsidRPr="00DC5312" w:rsidRDefault="005C733D" w:rsidP="00003E81">
      <w:pPr>
        <w:pStyle w:val="Sansinterligne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003E81">
        <w:rPr>
          <w:rFonts w:ascii="Century Gothic" w:hAnsi="Century Gothic"/>
          <w:sz w:val="19"/>
          <w:szCs w:val="19"/>
          <w:lang w:val="fr-FR"/>
        </w:rPr>
        <w:t>Drink 2013-2023</w:t>
      </w: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6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Default="00003E81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proofErr w:type="gramStart"/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16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5C733D" w:rsidRPr="005C733D">
        <w:rPr>
          <w:rFonts w:ascii="Century Gothic" w:hAnsi="Century Gothic"/>
          <w:sz w:val="19"/>
          <w:szCs w:val="19"/>
        </w:rPr>
        <w:t>Classic and typical with tight structure and medium weight.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Not terribly exciting, but nicely made and persistent on the finish. (RH)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</w:t>
      </w:r>
    </w:p>
    <w:p w:rsidR="005C733D" w:rsidRDefault="005C733D" w:rsidP="00003E81">
      <w:pPr>
        <w:pStyle w:val="Sansinterligne"/>
        <w:rPr>
          <w:rFonts w:ascii="Century Gothic" w:hAnsi="Century Gothic"/>
          <w:sz w:val="19"/>
          <w:szCs w:val="19"/>
          <w:lang w:val="fr-FR"/>
        </w:rPr>
      </w:pPr>
      <w:r w:rsidRPr="00003E81">
        <w:rPr>
          <w:rFonts w:ascii="Century Gothic" w:hAnsi="Century Gothic"/>
          <w:sz w:val="19"/>
          <w:szCs w:val="19"/>
          <w:lang w:val="fr-FR"/>
        </w:rPr>
        <w:t>Drink 2014-2020</w:t>
      </w:r>
    </w:p>
    <w:p w:rsidR="00003E81" w:rsidRPr="00003E81" w:rsidRDefault="00003E81" w:rsidP="00003E81">
      <w:pPr>
        <w:pStyle w:val="Sansinterligne"/>
        <w:rPr>
          <w:rFonts w:ascii="Century Gothic" w:hAnsi="Century Gothic"/>
          <w:sz w:val="19"/>
          <w:szCs w:val="19"/>
          <w:lang w:val="fr-FR"/>
        </w:rPr>
      </w:pPr>
    </w:p>
    <w:p w:rsidR="005C733D" w:rsidRDefault="005C733D" w:rsidP="005C733D">
      <w:pPr>
        <w:spacing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7" w:history="1"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2011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Hautes-Côtes</w:t>
        </w:r>
        <w:proofErr w:type="spellEnd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de </w:t>
        </w:r>
        <w:proofErr w:type="spellStart"/>
        <w:r w:rsidRPr="005C733D">
          <w:rPr>
            <w:rStyle w:val="Lienhypertexte"/>
            <w:rFonts w:ascii="Century Gothic" w:hAnsi="Century Gothic"/>
            <w:b/>
            <w:sz w:val="19"/>
            <w:szCs w:val="19"/>
          </w:rPr>
          <w:t>Nuits</w:t>
        </w:r>
        <w:proofErr w:type="spellEnd"/>
      </w:hyperlink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</w:t>
      </w:r>
    </w:p>
    <w:p w:rsidR="005C733D" w:rsidRDefault="00003E81" w:rsidP="005C733D">
      <w:pPr>
        <w:spacing w:line="280" w:lineRule="atLeast"/>
        <w:rPr>
          <w:rFonts w:ascii="Century Gothic" w:hAnsi="Century Gothic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="005C733D" w:rsidRPr="00003E81">
        <w:rPr>
          <w:rFonts w:ascii="Century Gothic" w:hAnsi="Century Gothic"/>
          <w:b/>
          <w:color w:val="97A821"/>
          <w:sz w:val="19"/>
          <w:szCs w:val="19"/>
        </w:rPr>
        <w:t>15.5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  <w:r w:rsidR="005C733D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proofErr w:type="gramStart"/>
      <w:r w:rsidR="005C733D" w:rsidRPr="005C733D">
        <w:rPr>
          <w:rFonts w:ascii="Century Gothic" w:hAnsi="Century Gothic"/>
          <w:sz w:val="19"/>
          <w:szCs w:val="19"/>
        </w:rPr>
        <w:t>Rather</w:t>
      </w:r>
      <w:proofErr w:type="gramEnd"/>
      <w:r w:rsidR="005C733D" w:rsidRPr="005C733D">
        <w:rPr>
          <w:rFonts w:ascii="Century Gothic" w:hAnsi="Century Gothic"/>
          <w:sz w:val="19"/>
          <w:szCs w:val="19"/>
        </w:rPr>
        <w:t xml:space="preserve"> less enjoyable than the François Parent Bourgogne. Fruit is less fruity and fun – aimed at a more traditional or ga</w:t>
      </w:r>
      <w:r w:rsidR="005C733D" w:rsidRPr="005C733D">
        <w:rPr>
          <w:rFonts w:ascii="Century Gothic" w:hAnsi="Century Gothic"/>
          <w:sz w:val="19"/>
          <w:szCs w:val="19"/>
        </w:rPr>
        <w:t>stronomic palate, perhaps? (RH)</w:t>
      </w:r>
    </w:p>
    <w:p w:rsidR="006F54F7" w:rsidRPr="0017701C" w:rsidRDefault="005C733D" w:rsidP="006F54F7">
      <w:pPr>
        <w:pStyle w:val="Sansinterligne"/>
        <w:rPr>
          <w:rFonts w:ascii="Century Gothic" w:hAnsi="Century Gothic"/>
          <w:sz w:val="19"/>
          <w:szCs w:val="19"/>
          <w:lang w:val="fr-FR"/>
        </w:rPr>
      </w:pPr>
      <w:r w:rsidRPr="00003E81">
        <w:rPr>
          <w:rFonts w:ascii="Century Gothic" w:hAnsi="Century Gothic"/>
          <w:sz w:val="19"/>
          <w:szCs w:val="19"/>
          <w:lang w:val="fr-FR"/>
        </w:rPr>
        <w:t>Drink 2013-2017</w:t>
      </w:r>
      <w:r w:rsidR="006F54F7" w:rsidRPr="0017701C">
        <w:rPr>
          <w:rFonts w:ascii="Century Gothic" w:hAnsi="Century Gothic"/>
          <w:sz w:val="19"/>
          <w:szCs w:val="19"/>
          <w:lang w:val="fr-FR"/>
        </w:rPr>
        <w:br/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br/>
      </w:r>
    </w:p>
    <w:p w:rsidR="006F54F7" w:rsidRDefault="006F54F7" w:rsidP="006F54F7">
      <w:r w:rsidRPr="00AB3BF9">
        <w:br/>
      </w:r>
    </w:p>
    <w:p w:rsidR="000704FC" w:rsidRPr="009672B4" w:rsidRDefault="000704FC" w:rsidP="009672B4">
      <w:pPr>
        <w:pStyle w:val="Sansinterligne"/>
        <w:rPr>
          <w:rFonts w:ascii="Century Gothic" w:hAnsi="Century Gothic"/>
          <w:noProof/>
          <w:sz w:val="19"/>
          <w:szCs w:val="19"/>
          <w:lang w:eastAsia="en-GB"/>
        </w:rPr>
      </w:pPr>
    </w:p>
    <w:sectPr w:rsidR="000704FC" w:rsidRPr="009672B4" w:rsidSect="004C3759">
      <w:headerReference w:type="default" r:id="rId18"/>
      <w:footerReference w:type="default" r:id="rId19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1" w:rsidRDefault="00434401" w:rsidP="004E3266">
      <w:pPr>
        <w:spacing w:line="240" w:lineRule="auto"/>
      </w:pPr>
      <w:r>
        <w:separator/>
      </w:r>
    </w:p>
  </w:endnote>
  <w:endnote w:type="continuationSeparator" w:id="0">
    <w:p w:rsidR="00434401" w:rsidRDefault="00434401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4E3266" w:rsidRDefault="00600FA1" w:rsidP="00E62064">
    <w:pPr>
      <w:pStyle w:val="Pieddepage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Pieddepage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1" w:rsidRDefault="00434401" w:rsidP="004E3266">
      <w:pPr>
        <w:spacing w:line="240" w:lineRule="auto"/>
      </w:pPr>
      <w:r>
        <w:separator/>
      </w:r>
    </w:p>
  </w:footnote>
  <w:footnote w:type="continuationSeparator" w:id="0">
    <w:p w:rsidR="00434401" w:rsidRDefault="00434401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3A5AD7" w:rsidRDefault="003A5AD7" w:rsidP="004E3266">
    <w:pPr>
      <w:pStyle w:val="Titre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1E"/>
    <w:rsid w:val="00002C85"/>
    <w:rsid w:val="00003E81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34401"/>
    <w:rsid w:val="00440517"/>
    <w:rsid w:val="004508A4"/>
    <w:rsid w:val="00450D01"/>
    <w:rsid w:val="00451497"/>
    <w:rsid w:val="0045454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C733D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7F3629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047F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3E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1AF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ncisrobinson.com/tasting_notes/tn20130112148/sid/88854.htm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ancisrobinson.com/tasting_notes/tn20130112147/sid/88854.html" TargetMode="External"/><Relationship Id="rId17" Type="http://schemas.openxmlformats.org/officeDocument/2006/relationships/hyperlink" Target="http://www.jancisrobinson.com/tasting_notes/tn20130112141/sid/8885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ncisrobinson.com/tasting_notes/tn20130112142/sid/88854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ncisrobinson.com/tasting_notes/tn20130112144/sid/888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ncisrobinson.com/tasting_notes/tn20130112146/sid/88854.html" TargetMode="External"/><Relationship Id="rId10" Type="http://schemas.openxmlformats.org/officeDocument/2006/relationships/hyperlink" Target="http://www.jancisrobinson.com/tasting_notes/tn20130112149/sid/88854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ancisrobinson.com/tasting_notes/tn20130112143/sid/88854.html" TargetMode="External"/><Relationship Id="rId14" Type="http://schemas.openxmlformats.org/officeDocument/2006/relationships/hyperlink" Target="http://www.jancisrobinson.com/tasting_notes/tn20130112145/sid/888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AF</cp:lastModifiedBy>
  <cp:revision>2</cp:revision>
  <cp:lastPrinted>2018-10-27T16:25:00Z</cp:lastPrinted>
  <dcterms:created xsi:type="dcterms:W3CDTF">2018-10-27T16:25:00Z</dcterms:created>
  <dcterms:modified xsi:type="dcterms:W3CDTF">2018-10-27T16:25:00Z</dcterms:modified>
</cp:coreProperties>
</file>